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69F8">
      <w:pPr>
        <w:pStyle w:val="2"/>
        <w:ind w:left="0" w:leftChars="0" w:firstLine="0" w:firstLineChars="0"/>
        <w:jc w:val="center"/>
        <w:outlineLvl w:val="0"/>
        <w:rPr>
          <w:rFonts w:hint="default" w:ascii="宋体" w:hAnsi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</w:pPr>
      <w:bookmarkStart w:id="1" w:name="_GoBack"/>
      <w:bookmarkStart w:id="0" w:name="_Toc12353"/>
      <w:r>
        <w:rPr>
          <w:rFonts w:hint="eastAsia" w:ascii="宋体" w:hAnsi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  <w:t>2024年高素质农民培育项目</w:t>
      </w:r>
      <w:bookmarkEnd w:id="1"/>
      <w:r>
        <w:rPr>
          <w:rFonts w:hint="eastAsia" w:ascii="宋体" w:hAnsi="宋体" w:cs="宋体"/>
          <w:b/>
          <w:bCs w:val="0"/>
          <w:color w:val="auto"/>
          <w:sz w:val="30"/>
          <w:szCs w:val="30"/>
          <w:highlight w:val="none"/>
          <w:lang w:val="en-US" w:eastAsia="zh-CN"/>
        </w:rPr>
        <w:t>采购需求</w:t>
      </w:r>
      <w:bookmarkEnd w:id="0"/>
    </w:p>
    <w:p w14:paraId="0B5A98C2">
      <w:pPr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前注：</w:t>
      </w:r>
    </w:p>
    <w:p w14:paraId="424F36E1">
      <w:pPr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本说明中提出的技术方案仅为参考，如无明确限制，供应商可以进行优化，提供满足用户实际需要的更优（或者性能实质上不低于的）服务方案，且此方案须经磋商小组评审认可。</w:t>
      </w:r>
    </w:p>
    <w:p w14:paraId="01ED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b/>
          <w:bCs/>
          <w:color w:val="auto"/>
          <w:highlight w:val="none"/>
          <w:lang w:val="en-US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本项目采购标的的所属行业：</w:t>
      </w:r>
      <w:r>
        <w:rPr>
          <w:rFonts w:hint="eastAsia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其他未列明行业</w:t>
      </w:r>
    </w:p>
    <w:p w14:paraId="0CBB6D4E">
      <w:pPr>
        <w:pStyle w:val="3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auto"/>
          <w:szCs w:val="24"/>
          <w:highlight w:val="none"/>
          <w:lang w:val="en-US" w:eastAsia="zh-CN"/>
        </w:rPr>
        <w:t>一、商务要求：</w:t>
      </w:r>
    </w:p>
    <w:tbl>
      <w:tblPr>
        <w:tblStyle w:val="6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092D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582F7743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 w14:paraId="1E2A56D2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170" w:type="dxa"/>
            <w:vAlign w:val="center"/>
          </w:tcPr>
          <w:p w14:paraId="4BF6DDD8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14F5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8" w:type="dxa"/>
            <w:vAlign w:val="center"/>
          </w:tcPr>
          <w:p w14:paraId="02D97A0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7B1DC079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71149399">
            <w:pPr>
              <w:spacing w:line="36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合同签订后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预付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合同金额的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%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项目验收合格后付清余款。</w:t>
            </w:r>
          </w:p>
        </w:tc>
      </w:tr>
      <w:tr w14:paraId="0DCF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41E2F49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28567CCA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地点</w:t>
            </w:r>
          </w:p>
        </w:tc>
        <w:tc>
          <w:tcPr>
            <w:tcW w:w="5170" w:type="dxa"/>
            <w:vAlign w:val="center"/>
          </w:tcPr>
          <w:p w14:paraId="0972241D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成交人所提供的地点</w:t>
            </w:r>
          </w:p>
        </w:tc>
      </w:tr>
      <w:tr w14:paraId="0615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658B56B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1F3B6898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期限</w:t>
            </w:r>
          </w:p>
        </w:tc>
        <w:tc>
          <w:tcPr>
            <w:tcW w:w="5170" w:type="dxa"/>
            <w:vAlign w:val="center"/>
          </w:tcPr>
          <w:p w14:paraId="2A73EAA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自合同签订之日起75日历天内完成。</w:t>
            </w:r>
          </w:p>
        </w:tc>
      </w:tr>
    </w:tbl>
    <w:p w14:paraId="30A79AD9"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88C83E9">
      <w:pPr>
        <w:pStyle w:val="3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hAnsi="宋体"/>
          <w:bCs/>
          <w:color w:val="auto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Cs w:val="24"/>
          <w:highlight w:val="none"/>
          <w:lang w:val="en-US" w:eastAsia="zh-CN"/>
        </w:rPr>
        <w:t>二、</w:t>
      </w:r>
      <w:r>
        <w:rPr>
          <w:rFonts w:hint="eastAsia" w:hAnsi="宋体"/>
          <w:bCs/>
          <w:color w:val="auto"/>
          <w:szCs w:val="24"/>
          <w:highlight w:val="none"/>
          <w:lang w:val="en-US" w:eastAsia="zh-CN"/>
        </w:rPr>
        <w:t>服务需求</w:t>
      </w:r>
    </w:p>
    <w:p w14:paraId="453B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相关服务要求均依照皖农科函（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《安徽省202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年高素质农民培育工作实施方案》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制定。</w:t>
      </w:r>
    </w:p>
    <w:p w14:paraId="0582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1、开展乡村建设人员培育</w:t>
      </w:r>
    </w:p>
    <w:p w14:paraId="041B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数100人。年满16周岁，正在从事或有意愿从事乡村治理、乡村建设及社会事业服务等人员。重点面向省级精品村、省市级中心村村党组织书记和从事乡村建设的管理者、实施者，提高乡村治理、乡村建设、服务乡村社会事业发展能力。按照个人申请，村委、乡（镇）逐级推荐，县农业农村局审定的程序进行。</w:t>
      </w:r>
    </w:p>
    <w:p w14:paraId="70CC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培育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要求</w:t>
      </w:r>
    </w:p>
    <w:p w14:paraId="4974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成交人需具备培育必须的教学、实践条件，包括：课堂集中教学场所及配套设施设备，实践实训场所或合作实训基地。</w:t>
      </w:r>
    </w:p>
    <w:p w14:paraId="7A44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、师资和教材</w:t>
      </w:r>
    </w:p>
    <w:p w14:paraId="1A78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在项目管理部门指导下，安排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不少于6人的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师资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队伍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和选用教材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具体人数及教材数量需满足项目实际需求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。从各级高素质农民培育师资库遴选授课教师。按照“谁选用，谁负责”的原则选用优质培训教材，优先选用农业农村部“十四五”规划教材和省统编教材，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保证参训学员人手一套省级以上统编教材。鼓励成交人订阅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《农民日报》等报刊。</w:t>
      </w:r>
    </w:p>
    <w:p w14:paraId="003D2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4、培训内容</w:t>
      </w:r>
    </w:p>
    <w:p w14:paraId="70C5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参照农业农村部科教司《高素质农民培育规范》及2024年高素质农民培育模块要求，结合实际，紧扣需求，科学设置教学模块、设计培训课程。课程体系分为综合素养课、专业技能课、能力拓展课三类。</w:t>
      </w:r>
    </w:p>
    <w:p w14:paraId="5102F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通过理论教学、交流互动和实践观摩等多种形式，围绕乡村产业、乡村文化、乡村建设、乡村治理、乡村运营等主题，综合素养课应包括习近平总书记关于“三农”工作重要论述、2024年中央和安徽省委一号文件、农业农村部一号文件、乡村振兴促进法等相关理论内容，专业技能课应包括“千万工程”与“乡村振兴”、和美乡村建设管理、党建引领乡村治理等课程，能力拓展课由成交人根据培育对象和培育目标自行设计课程。</w:t>
      </w:r>
    </w:p>
    <w:p w14:paraId="35BC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培育方式</w:t>
      </w:r>
    </w:p>
    <w:p w14:paraId="0AFA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实行分类型、分专业、分阶段、小班制、重实训、强服务的培育方式。经营管理型人员培训时间累计不少于128学时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培训 ，45 分钟为 1 学时，每半天不超过 4 个学时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原则上每期培训班不超过50人；结合农业生产周期，分时段培训。倡导运用案例教学法，积极采用系统知识培训与跟踪指导服务相结合、线上线下培训相结合、本地培训与异地培训相结合等方法开展培育。培育结束后，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通过过程评价、理论考试和技能考评相结合方式，综合评价学员学习成果，对合格者颁发结业证书。</w:t>
      </w:r>
    </w:p>
    <w:p w14:paraId="2E3C4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培育管理</w:t>
      </w:r>
    </w:p>
    <w:p w14:paraId="2576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在项目管理部门的指导下，依据本级实施方案及《高素质农民培育规范》202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高素质农民培育模块要求，制定培育计划及每期培训班教学计划。教学计划包括课程、学时、形式、师资、教材、基地等内容，明确教学组织、学员管理、实习实训、考核评价等要求。培育计划和教学计划报经项目主管部门审核批复后实施。每期培训班建立5项制度，即：班主任制度、第一堂课制度（行政主管部门有关人员上第一课）、学员培训考勤制度、培训台账制度、满意度评价制度（信息管理系统评价）。抓好培训班日常管理和服务，特别是做好安全管理工作。及时建立健全培训档案，按要求将相关信息100%录入信息管理系统，加强高素质农民培育信息化管理。项目管理部门及时对完成任务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进行验收。</w:t>
      </w:r>
    </w:p>
    <w:p w14:paraId="01FA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延伸服务</w:t>
      </w:r>
    </w:p>
    <w:p w14:paraId="14C9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组织协调农业农村系统相关管理和技术力量，为培育对象提供长期技术指导服务，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对结业学员跟踪服务不少于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1年。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帮助产业发展带头人获取基础设施建设、产业项目、信贷保险等方面支持。创造机会条件，支持高素质农民参加论坛、展会、创新创业大赛和农产品交易活动等。支持高素质农民领办创办产业联合体抱团发展。</w:t>
      </w:r>
    </w:p>
    <w:p w14:paraId="55224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8、工作要求</w:t>
      </w:r>
    </w:p>
    <w:p w14:paraId="6455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培训工作2024年10月底完成。具有专人整理培训材料，对培训全程做好课件、拍照、录像、记录等工作，能真实、完整、规范地建立培训台账及档案，并负责项目验收的完整资料收集、整理、装订工作，并将资料交采购人。积极开展宣传工作，市级以上媒体发布信息不少于 2 条，其中省级以上不少于 1 条。成交人须制定整个培训期间的安全保障方案并严格执行。培训期间(含往返车途中)，成交人须为培训人员购买意外伤害保险。成交人承担培训期间所有学员的食宿费用、交通费用（安庆各县、市、区至培训地点以及实践实训基地往返交通费用）。根据安庆市农业农村局制定的验收办法，及时进行验收。成交人在完成培训任务后，及时向提出验收申请，市农业农村局按照有关要求组织验收，对验收合格的出具验收报告，对存在问题的待整改后再验收。</w:t>
      </w:r>
    </w:p>
    <w:p w14:paraId="33F61877">
      <w:pPr>
        <w:pStyle w:val="3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auto"/>
          <w:szCs w:val="24"/>
          <w:highlight w:val="none"/>
          <w:lang w:val="en-US" w:eastAsia="zh-CN"/>
        </w:rPr>
        <w:t>三、报价要求</w:t>
      </w:r>
    </w:p>
    <w:p w14:paraId="18D6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本项目采用固定报价，即供应商所投首轮报价和最终报价与所投包别的最高投标限价相同（即报价为：35万元），不得更改，否则按无效报价处理。</w:t>
      </w:r>
    </w:p>
    <w:p w14:paraId="65C3012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lang w:eastAsia="zh-CN"/>
        </w:rPr>
        <w:t>其他要求</w:t>
      </w:r>
    </w:p>
    <w:p w14:paraId="55FEE955">
      <w:pPr>
        <w:spacing w:line="360" w:lineRule="auto"/>
        <w:ind w:firstLine="420" w:firstLineChars="200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响应人提供的证明材料须清晰地反映评审内容，如因材料模糊不清，导致磋商小组无法辨认的，磋商小组可以不予认可，一切后果由响应人自行承担。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EFB2CEC"/>
    <w:rsid w:val="2E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2024-09-19T08:29:00Z</dcterms:created>
  <dc:creator>ywsby</dc:creator>
  <cp:lastModifiedBy>ywsby</cp:lastModifiedBy>
  <dcterms:modified xsi:type="dcterms:W3CDTF">2024-09-19T08:31:57Z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4E337628B5EA43AB9554978B5B5A6CEA_11</vt:lpwstr>
  </property>
</Properties>
</file>