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spacing w:before="0" w:beforeAutospacing="0" w:after="0" w:afterAutospacing="0" w:line="315" w:lineRule="atLeast"/>
        <w:jc w:val="both"/>
        <w:rPr>
          <w:rFonts w:hint="eastAsia" w:ascii="黑体" w:hAnsi="黑体" w:eastAsia="黑体" w:cs="黑体"/>
          <w:b w:val="0"/>
          <w:bCs/>
          <w:sz w:val="32"/>
          <w:szCs w:val="32"/>
          <w:shd w:val="clear" w:color="auto" w:fill="FFFFFF"/>
          <w:lang w:val="en-US" w:eastAsia="zh-CN"/>
        </w:rPr>
      </w:pPr>
      <w:r>
        <w:rPr>
          <w:rFonts w:hint="eastAsia" w:ascii="黑体" w:hAnsi="黑体" w:eastAsia="黑体" w:cs="黑体"/>
          <w:b w:val="0"/>
          <w:bCs/>
          <w:sz w:val="32"/>
          <w:szCs w:val="32"/>
          <w:shd w:val="clear" w:color="auto" w:fill="FFFFFF"/>
          <w:lang w:eastAsia="zh-CN"/>
        </w:rPr>
        <w:t>附件</w:t>
      </w:r>
      <w:r>
        <w:rPr>
          <w:rFonts w:hint="eastAsia" w:ascii="黑体" w:hAnsi="黑体" w:eastAsia="黑体" w:cs="黑体"/>
          <w:b w:val="0"/>
          <w:bCs/>
          <w:sz w:val="32"/>
          <w:szCs w:val="32"/>
          <w:shd w:val="clear" w:color="auto" w:fill="FFFFFF"/>
          <w:lang w:val="en-US" w:eastAsia="zh-CN"/>
        </w:rPr>
        <w:t>1</w:t>
      </w:r>
    </w:p>
    <w:p>
      <w:pPr>
        <w:pStyle w:val="3"/>
        <w:widowControl/>
        <w:shd w:val="clear" w:color="auto" w:fill="FFFFFF"/>
        <w:spacing w:before="0" w:beforeAutospacing="0" w:after="0" w:afterAutospacing="0" w:line="315" w:lineRule="atLeast"/>
        <w:jc w:val="center"/>
        <w:rPr>
          <w:rFonts w:hint="default" w:ascii="方正小标宋简体" w:hAnsi="方正小标宋简体" w:eastAsia="方正小标宋简体" w:cs="方正小标宋简体"/>
          <w:b w:val="0"/>
          <w:bCs/>
          <w:sz w:val="44"/>
          <w:szCs w:val="44"/>
        </w:rPr>
      </w:pPr>
      <w:r>
        <w:rPr>
          <w:rFonts w:ascii="方正小标宋简体" w:hAnsi="方正小标宋简体" w:eastAsia="方正小标宋简体" w:cs="方正小标宋简体"/>
          <w:b w:val="0"/>
          <w:bCs/>
          <w:sz w:val="44"/>
          <w:szCs w:val="44"/>
          <w:shd w:val="clear" w:color="auto" w:fill="FFFFFF"/>
        </w:rPr>
        <w:t> 评审方法</w:t>
      </w:r>
    </w:p>
    <w:p/>
    <w:p>
      <w:pPr>
        <w:pStyle w:val="10"/>
        <w:shd w:val="clear" w:color="auto" w:fill="FFFFFF"/>
        <w:overflowPunct w:val="0"/>
        <w:spacing w:before="0" w:beforeAutospacing="0" w:after="0" w:afterAutospacing="0" w:line="580" w:lineRule="exact"/>
        <w:ind w:firstLine="640" w:firstLineChars="200"/>
        <w:jc w:val="both"/>
        <w:rPr>
          <w:rFonts w:ascii="黑体" w:hAnsi="黑体" w:eastAsia="黑体"/>
          <w:sz w:val="32"/>
          <w:szCs w:val="32"/>
          <w:shd w:val="clear" w:color="auto" w:fill="FFFFFF"/>
        </w:rPr>
      </w:pPr>
      <w:r>
        <w:rPr>
          <w:rFonts w:hint="eastAsia" w:ascii="黑体" w:hAnsi="黑体" w:eastAsia="黑体"/>
          <w:sz w:val="32"/>
          <w:szCs w:val="32"/>
          <w:shd w:val="clear" w:color="auto" w:fill="FFFFFF"/>
        </w:rPr>
        <w:t>一、总则</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1.1本次评审活动遵循公平、公正、科学、择优的原则。</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1.2在比选申请文件递交截止时间前</w:t>
      </w:r>
      <w:r>
        <w:rPr>
          <w:rFonts w:hint="default" w:ascii="Times New Roman" w:hAnsi="Times New Roman" w:eastAsia="仿宋_GB2312"/>
          <w:sz w:val="32"/>
          <w:szCs w:val="32"/>
          <w:shd w:val="clear" w:color="auto" w:fill="FFFFFF"/>
          <w:lang w:val="en-US"/>
        </w:rPr>
        <w:t>接收</w:t>
      </w:r>
      <w:r>
        <w:rPr>
          <w:rFonts w:hint="eastAsia" w:ascii="Times New Roman" w:hAnsi="Times New Roman" w:eastAsia="仿宋_GB2312"/>
          <w:sz w:val="32"/>
          <w:szCs w:val="32"/>
          <w:shd w:val="clear" w:color="auto" w:fill="FFFFFF"/>
        </w:rPr>
        <w:t>的比选申请文件，将交由评审委员会进行评审。在</w:t>
      </w:r>
      <w:r>
        <w:rPr>
          <w:rFonts w:hint="eastAsia" w:ascii="Times New Roman" w:hAnsi="Times New Roman" w:eastAsia="仿宋_GB2312"/>
          <w:sz w:val="32"/>
          <w:szCs w:val="32"/>
          <w:shd w:val="clear" w:color="auto" w:fill="FFFFFF"/>
          <w:lang w:eastAsia="zh-CN"/>
        </w:rPr>
        <w:t>比选人</w:t>
      </w:r>
      <w:r>
        <w:rPr>
          <w:rFonts w:hint="eastAsia" w:ascii="Times New Roman" w:hAnsi="Times New Roman" w:eastAsia="仿宋_GB2312"/>
          <w:sz w:val="32"/>
          <w:szCs w:val="32"/>
          <w:shd w:val="clear" w:color="auto" w:fill="FFFFFF"/>
        </w:rPr>
        <w:t>规定的提交截止时间后提交的比选申请文件，比选人将拒绝接收。</w:t>
      </w:r>
    </w:p>
    <w:p>
      <w:pPr>
        <w:pStyle w:val="10"/>
        <w:shd w:val="clear" w:color="auto" w:fill="FFFFFF"/>
        <w:overflowPunct w:val="0"/>
        <w:spacing w:before="0" w:beforeAutospacing="0" w:after="0" w:afterAutospacing="0" w:line="580" w:lineRule="exact"/>
        <w:ind w:firstLine="640" w:firstLineChars="200"/>
        <w:jc w:val="both"/>
        <w:rPr>
          <w:rFonts w:ascii="黑体" w:hAnsi="黑体" w:eastAsia="黑体"/>
          <w:sz w:val="32"/>
          <w:szCs w:val="32"/>
          <w:shd w:val="clear" w:color="auto" w:fill="FFFFFF"/>
        </w:rPr>
      </w:pPr>
      <w:r>
        <w:rPr>
          <w:rFonts w:hint="eastAsia" w:ascii="黑体" w:hAnsi="黑体" w:eastAsia="黑体"/>
          <w:sz w:val="32"/>
          <w:szCs w:val="32"/>
          <w:shd w:val="clear" w:color="auto" w:fill="FFFFFF"/>
        </w:rPr>
        <w:t>二、评审委员会</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2.1本项目的评审委员会由比选人按照相关规定组建。</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2.2评审委员会成员应当客观、公正地履行职责，遵守职业道德，对所提出的评审意见承担个人责任。</w:t>
      </w:r>
    </w:p>
    <w:p>
      <w:pPr>
        <w:pStyle w:val="10"/>
        <w:shd w:val="clear" w:color="auto" w:fill="FFFFFF"/>
        <w:overflowPunct w:val="0"/>
        <w:spacing w:before="0" w:beforeAutospacing="0" w:after="0" w:afterAutospacing="0" w:line="580" w:lineRule="exact"/>
        <w:ind w:firstLine="640" w:firstLineChars="200"/>
        <w:jc w:val="both"/>
        <w:rPr>
          <w:rFonts w:ascii="黑体" w:hAnsi="黑体" w:eastAsia="黑体"/>
          <w:sz w:val="32"/>
          <w:szCs w:val="32"/>
          <w:shd w:val="clear" w:color="auto" w:fill="FFFFFF"/>
        </w:rPr>
      </w:pPr>
      <w:r>
        <w:rPr>
          <w:rFonts w:hint="eastAsia" w:ascii="黑体" w:hAnsi="黑体" w:eastAsia="黑体"/>
          <w:sz w:val="32"/>
          <w:szCs w:val="32"/>
          <w:shd w:val="clear" w:color="auto" w:fill="FFFFFF"/>
        </w:rPr>
        <w:t>三、评审原则</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3.1评审办法：采用综合评估法。</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综合评估法：即最大限度地满足比选文件中规定的各项综合评价标准，赋予不同的权重，用打分的方法，评出中标候选人。</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3.2评审程序：资格审查---初步评审---量化评分并排序---编写比选报告。</w:t>
      </w:r>
    </w:p>
    <w:p>
      <w:pPr>
        <w:pStyle w:val="10"/>
        <w:shd w:val="clear" w:color="auto" w:fill="FFFFFF"/>
        <w:overflowPunct w:val="0"/>
        <w:spacing w:before="0" w:beforeAutospacing="0" w:after="0" w:afterAutospacing="0" w:line="580" w:lineRule="exact"/>
        <w:ind w:firstLine="640" w:firstLineChars="200"/>
        <w:jc w:val="both"/>
        <w:rPr>
          <w:rFonts w:ascii="黑体" w:hAnsi="黑体" w:eastAsia="黑体"/>
          <w:sz w:val="32"/>
          <w:szCs w:val="32"/>
          <w:shd w:val="clear" w:color="auto" w:fill="FFFFFF"/>
        </w:rPr>
      </w:pPr>
      <w:r>
        <w:rPr>
          <w:rFonts w:hint="eastAsia" w:ascii="黑体" w:hAnsi="黑体" w:eastAsia="黑体"/>
          <w:sz w:val="32"/>
          <w:szCs w:val="32"/>
          <w:shd w:val="clear" w:color="auto" w:fill="FFFFFF"/>
        </w:rPr>
        <w:t>四、资格审查</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评审委员会首先对所有比选申请文件进行资格审查，资格审查实行强制性合格条件标准（见下表），凡有一项不合格则不能通过。资格审查未通过的不再进入下</w:t>
      </w:r>
      <w:r>
        <w:rPr>
          <w:rFonts w:hint="eastAsia" w:ascii="Times New Roman" w:hAnsi="Times New Roman" w:eastAsia="仿宋_GB2312"/>
          <w:sz w:val="32"/>
          <w:szCs w:val="32"/>
          <w:shd w:val="clear" w:color="auto" w:fill="FFFFFF"/>
          <w:lang w:eastAsia="zh-CN"/>
        </w:rPr>
        <w:t>一步</w:t>
      </w:r>
      <w:r>
        <w:rPr>
          <w:rFonts w:hint="eastAsia" w:ascii="Times New Roman" w:hAnsi="Times New Roman" w:eastAsia="仿宋_GB2312"/>
          <w:sz w:val="32"/>
          <w:szCs w:val="32"/>
          <w:shd w:val="clear" w:color="auto" w:fill="FFFFFF"/>
        </w:rPr>
        <w:t>评审。</w:t>
      </w:r>
    </w:p>
    <w:p>
      <w:pPr>
        <w:pStyle w:val="10"/>
        <w:widowControl/>
        <w:shd w:val="clear" w:color="auto" w:fill="FFFFFF"/>
        <w:spacing w:before="0" w:beforeAutospacing="0" w:after="0" w:afterAutospacing="0" w:line="420" w:lineRule="atLeast"/>
        <w:ind w:right="95" w:firstLine="484"/>
        <w:jc w:val="center"/>
        <w:rPr>
          <w:rFonts w:ascii="宋体" w:hAnsi="宋体" w:cs="宋体"/>
          <w:b/>
          <w:shd w:val="clear" w:color="auto" w:fill="FFFFFF"/>
        </w:rPr>
      </w:pPr>
    </w:p>
    <w:p>
      <w:pPr>
        <w:pStyle w:val="10"/>
        <w:shd w:val="clear" w:color="auto" w:fill="FFFFFF"/>
        <w:overflowPunct w:val="0"/>
        <w:spacing w:before="0" w:beforeAutospacing="0" w:after="0" w:afterAutospacing="0" w:line="580" w:lineRule="exact"/>
        <w:jc w:val="center"/>
        <w:rPr>
          <w:rFonts w:ascii="黑体" w:hAnsi="黑体" w:eastAsia="黑体"/>
          <w:sz w:val="32"/>
          <w:szCs w:val="32"/>
          <w:shd w:val="clear" w:color="auto" w:fill="FFFFFF"/>
        </w:rPr>
      </w:pPr>
      <w:r>
        <w:rPr>
          <w:rFonts w:hint="eastAsia" w:ascii="黑体" w:hAnsi="黑体" w:eastAsia="黑体"/>
          <w:sz w:val="32"/>
          <w:szCs w:val="32"/>
          <w:shd w:val="clear" w:color="auto" w:fill="FFFFFF"/>
        </w:rPr>
        <w:t>资格审查强制性合格条件</w:t>
      </w:r>
    </w:p>
    <w:p>
      <w:pPr>
        <w:pStyle w:val="10"/>
        <w:shd w:val="clear" w:color="auto" w:fill="FFFFFF"/>
        <w:overflowPunct w:val="0"/>
        <w:spacing w:before="0" w:beforeAutospacing="0" w:after="0" w:afterAutospacing="0" w:line="580" w:lineRule="exact"/>
        <w:ind w:firstLine="640" w:firstLineChars="200"/>
        <w:jc w:val="center"/>
        <w:rPr>
          <w:rFonts w:ascii="黑体" w:hAnsi="黑体" w:eastAsia="黑体"/>
          <w:sz w:val="32"/>
          <w:szCs w:val="32"/>
          <w:shd w:val="clear" w:color="auto" w:fill="FFFFFF"/>
        </w:rPr>
      </w:pPr>
    </w:p>
    <w:tbl>
      <w:tblPr>
        <w:tblStyle w:val="11"/>
        <w:tblW w:w="9497"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626"/>
        <w:gridCol w:w="1941"/>
        <w:gridCol w:w="5953"/>
        <w:gridCol w:w="977"/>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20" w:hRule="atLeast"/>
        </w:trPr>
        <w:tc>
          <w:tcPr>
            <w:tcW w:w="626" w:type="dxa"/>
            <w:tcBorders>
              <w:top w:val="single" w:color="auto" w:sz="8" w:space="0"/>
              <w:left w:val="single" w:color="auto" w:sz="8" w:space="0"/>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b/>
                <w:bCs/>
                <w:sz w:val="28"/>
                <w:szCs w:val="28"/>
              </w:rPr>
            </w:pPr>
            <w:r>
              <w:rPr>
                <w:rFonts w:hint="eastAsia" w:ascii="宋体" w:hAnsi="宋体" w:cs="宋体"/>
                <w:b/>
                <w:bCs/>
              </w:rPr>
              <w:t>序号</w:t>
            </w:r>
          </w:p>
        </w:tc>
        <w:tc>
          <w:tcPr>
            <w:tcW w:w="1941" w:type="dxa"/>
            <w:tcBorders>
              <w:top w:val="single" w:color="auto" w:sz="8" w:space="0"/>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b/>
                <w:bCs/>
                <w:sz w:val="28"/>
                <w:szCs w:val="28"/>
              </w:rPr>
            </w:pPr>
            <w:r>
              <w:rPr>
                <w:rFonts w:hint="eastAsia" w:ascii="宋体" w:hAnsi="宋体" w:cs="宋体"/>
                <w:b/>
                <w:bCs/>
              </w:rPr>
              <w:t>审查内容</w:t>
            </w:r>
          </w:p>
        </w:tc>
        <w:tc>
          <w:tcPr>
            <w:tcW w:w="5953" w:type="dxa"/>
            <w:tcBorders>
              <w:top w:val="single" w:color="auto" w:sz="8" w:space="0"/>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b/>
                <w:bCs/>
                <w:sz w:val="28"/>
                <w:szCs w:val="28"/>
              </w:rPr>
            </w:pPr>
            <w:r>
              <w:rPr>
                <w:rFonts w:hint="eastAsia" w:ascii="宋体" w:hAnsi="宋体" w:cs="宋体"/>
                <w:b/>
                <w:bCs/>
              </w:rPr>
              <w:t>合格条件</w:t>
            </w:r>
          </w:p>
        </w:tc>
        <w:tc>
          <w:tcPr>
            <w:tcW w:w="977" w:type="dxa"/>
            <w:tcBorders>
              <w:top w:val="single" w:color="auto" w:sz="8" w:space="0"/>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b/>
                <w:bCs/>
              </w:rPr>
            </w:pPr>
            <w:r>
              <w:rPr>
                <w:rFonts w:hint="eastAsia" w:ascii="宋体" w:hAnsi="宋体" w:cs="宋体"/>
                <w:b/>
                <w:bCs/>
              </w:rPr>
              <w:t>是否</w:t>
            </w:r>
          </w:p>
          <w:p>
            <w:pPr>
              <w:pStyle w:val="10"/>
              <w:widowControl/>
              <w:spacing w:before="0" w:beforeAutospacing="0" w:after="0" w:afterAutospacing="0" w:line="420" w:lineRule="atLeast"/>
              <w:jc w:val="center"/>
              <w:rPr>
                <w:rFonts w:ascii="宋体" w:hAnsi="宋体" w:cs="宋体"/>
                <w:b/>
                <w:bCs/>
                <w:sz w:val="28"/>
                <w:szCs w:val="28"/>
              </w:rPr>
            </w:pPr>
            <w:r>
              <w:rPr>
                <w:rFonts w:hint="eastAsia" w:ascii="宋体" w:hAnsi="宋体" w:cs="宋体"/>
                <w:b/>
                <w:bCs/>
              </w:rPr>
              <w:t>符合</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629" w:hRule="atLeast"/>
        </w:trPr>
        <w:tc>
          <w:tcPr>
            <w:tcW w:w="626" w:type="dxa"/>
            <w:tcBorders>
              <w:top w:val="nil"/>
              <w:left w:val="single" w:color="auto" w:sz="8" w:space="0"/>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1</w:t>
            </w:r>
          </w:p>
        </w:tc>
        <w:tc>
          <w:tcPr>
            <w:tcW w:w="1941"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rPr>
            </w:pPr>
            <w:r>
              <w:rPr>
                <w:rFonts w:hint="eastAsia" w:ascii="宋体" w:hAnsi="宋体" w:cs="宋体"/>
              </w:rPr>
              <w:t>企业法人</w:t>
            </w:r>
          </w:p>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营业执照</w:t>
            </w:r>
          </w:p>
        </w:tc>
        <w:tc>
          <w:tcPr>
            <w:tcW w:w="5953"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00" w:lineRule="exact"/>
              <w:rPr>
                <w:rFonts w:ascii="宋体" w:hAnsi="宋体" w:cs="宋体"/>
                <w:sz w:val="28"/>
                <w:szCs w:val="28"/>
              </w:rPr>
            </w:pPr>
            <w:r>
              <w:rPr>
                <w:rFonts w:hint="eastAsia" w:ascii="宋体" w:hAnsi="宋体" w:cs="宋体"/>
              </w:rPr>
              <w:t>独立法人资格，具有合格有效的营业执照、税务登记证、组织机构代码证或三证合一，营业范围必须有招投标代理服务和政府采购代理服务</w:t>
            </w:r>
          </w:p>
        </w:tc>
        <w:tc>
          <w:tcPr>
            <w:tcW w:w="977"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2296" w:hRule="atLeast"/>
        </w:trPr>
        <w:tc>
          <w:tcPr>
            <w:tcW w:w="626" w:type="dxa"/>
            <w:tcBorders>
              <w:top w:val="nil"/>
              <w:left w:val="single" w:color="auto" w:sz="8" w:space="0"/>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2</w:t>
            </w:r>
          </w:p>
        </w:tc>
        <w:tc>
          <w:tcPr>
            <w:tcW w:w="1941"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商业信誉</w:t>
            </w:r>
          </w:p>
        </w:tc>
        <w:tc>
          <w:tcPr>
            <w:tcW w:w="5953"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00" w:lineRule="exact"/>
              <w:ind w:right="125"/>
              <w:rPr>
                <w:rFonts w:ascii="宋体" w:hAnsi="宋体" w:cs="宋体"/>
                <w:sz w:val="28"/>
                <w:szCs w:val="28"/>
              </w:rPr>
            </w:pPr>
            <w:r>
              <w:rPr>
                <w:rFonts w:hint="eastAsia" w:ascii="宋体" w:hAnsi="宋体" w:cs="宋体"/>
              </w:rPr>
              <w:t>近三年（以公告发布之日后的查询结果为准）被“信用中国”网站列入失信被执行人、重大税收违法案件当事人、政府采购严重违法失信行为记录名单和被“中国政府采购网”网站列入政府失信行为记录名单</w:t>
            </w:r>
          </w:p>
        </w:tc>
        <w:tc>
          <w:tcPr>
            <w:tcW w:w="977"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290" w:hRule="atLeast"/>
        </w:trPr>
        <w:tc>
          <w:tcPr>
            <w:tcW w:w="626" w:type="dxa"/>
            <w:tcBorders>
              <w:top w:val="nil"/>
              <w:left w:val="single" w:color="auto" w:sz="8" w:space="0"/>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3</w:t>
            </w:r>
          </w:p>
        </w:tc>
        <w:tc>
          <w:tcPr>
            <w:tcW w:w="1941"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联合体</w:t>
            </w:r>
          </w:p>
        </w:tc>
        <w:tc>
          <w:tcPr>
            <w:tcW w:w="5953"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本项目不接受联合体参选</w:t>
            </w:r>
          </w:p>
        </w:tc>
        <w:tc>
          <w:tcPr>
            <w:tcW w:w="977"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393" w:hRule="atLeast"/>
        </w:trPr>
        <w:tc>
          <w:tcPr>
            <w:tcW w:w="626" w:type="dxa"/>
            <w:tcBorders>
              <w:top w:val="nil"/>
              <w:left w:val="single" w:color="auto" w:sz="8" w:space="0"/>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4</w:t>
            </w:r>
          </w:p>
        </w:tc>
        <w:tc>
          <w:tcPr>
            <w:tcW w:w="1941"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结论</w:t>
            </w:r>
          </w:p>
        </w:tc>
        <w:tc>
          <w:tcPr>
            <w:tcW w:w="5953"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以上条件必须全部通过</w:t>
            </w:r>
          </w:p>
        </w:tc>
        <w:tc>
          <w:tcPr>
            <w:tcW w:w="977" w:type="dxa"/>
            <w:tcBorders>
              <w:top w:val="nil"/>
              <w:left w:val="nil"/>
              <w:bottom w:val="single" w:color="auto" w:sz="8" w:space="0"/>
              <w:right w:val="single" w:color="auto" w:sz="8" w:space="0"/>
            </w:tcBorders>
            <w:shd w:val="clear" w:color="auto" w:fill="FFFFFF"/>
            <w:tcMar>
              <w:bottom w:w="0"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bl>
    <w:p>
      <w:pPr>
        <w:widowControl/>
        <w:jc w:val="left"/>
      </w:pPr>
    </w:p>
    <w:p>
      <w:pPr>
        <w:pStyle w:val="10"/>
        <w:shd w:val="clear" w:color="auto" w:fill="FFFFFF"/>
        <w:overflowPunct w:val="0"/>
        <w:spacing w:before="0" w:beforeAutospacing="0" w:after="0" w:afterAutospacing="0" w:line="580" w:lineRule="exact"/>
        <w:ind w:firstLine="640" w:firstLineChars="200"/>
        <w:jc w:val="both"/>
        <w:rPr>
          <w:rFonts w:ascii="黑体" w:hAnsi="黑体" w:eastAsia="黑体"/>
          <w:sz w:val="32"/>
          <w:szCs w:val="32"/>
          <w:shd w:val="clear" w:color="auto" w:fill="FFFFFF"/>
        </w:rPr>
      </w:pPr>
      <w:r>
        <w:rPr>
          <w:rFonts w:hint="eastAsia" w:ascii="黑体" w:hAnsi="黑体" w:eastAsia="黑体"/>
          <w:sz w:val="32"/>
          <w:szCs w:val="32"/>
          <w:shd w:val="clear" w:color="auto" w:fill="FFFFFF"/>
        </w:rPr>
        <w:t>五、初步评审</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5.1初步评审主要为评审委员会对各比选申请文件是否在实质上响应了比选文件要求进行评审。</w:t>
      </w:r>
    </w:p>
    <w:p>
      <w:pPr>
        <w:pStyle w:val="10"/>
        <w:shd w:val="clear" w:color="auto" w:fill="FFFFFF"/>
        <w:overflowPunct w:val="0"/>
        <w:spacing w:before="0" w:beforeAutospacing="0" w:after="0" w:afterAutospacing="0" w:line="58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5.2若比选申请文件有下表中所列任何一种情况的，则视为未能在实质上响应比选文件，属重大偏差，将不进入详细评审。</w:t>
      </w:r>
    </w:p>
    <w:p>
      <w:pPr>
        <w:pStyle w:val="10"/>
        <w:shd w:val="clear" w:color="auto" w:fill="FFFFFF"/>
        <w:overflowPunct w:val="0"/>
        <w:spacing w:before="0" w:beforeAutospacing="0" w:after="0" w:afterAutospacing="0" w:line="580" w:lineRule="exact"/>
        <w:ind w:firstLine="640" w:firstLineChars="200"/>
        <w:jc w:val="center"/>
        <w:rPr>
          <w:rFonts w:ascii="黑体" w:hAnsi="黑体" w:eastAsia="黑体"/>
          <w:sz w:val="32"/>
          <w:szCs w:val="32"/>
          <w:shd w:val="clear" w:color="auto" w:fill="FFFFFF"/>
        </w:rPr>
      </w:pPr>
    </w:p>
    <w:p>
      <w:pPr>
        <w:pStyle w:val="10"/>
        <w:shd w:val="clear" w:color="auto" w:fill="FFFFFF"/>
        <w:overflowPunct w:val="0"/>
        <w:spacing w:before="0" w:beforeAutospacing="0" w:after="0" w:afterAutospacing="0" w:line="580" w:lineRule="exact"/>
        <w:ind w:firstLine="640" w:firstLineChars="200"/>
        <w:jc w:val="center"/>
        <w:rPr>
          <w:rFonts w:ascii="黑体" w:hAnsi="黑体" w:eastAsia="黑体"/>
          <w:sz w:val="32"/>
          <w:szCs w:val="32"/>
          <w:shd w:val="clear" w:color="auto" w:fill="FFFFFF"/>
        </w:rPr>
      </w:pPr>
      <w:r>
        <w:rPr>
          <w:rFonts w:hint="eastAsia" w:ascii="黑体" w:hAnsi="黑体" w:eastAsia="黑体"/>
          <w:sz w:val="32"/>
          <w:szCs w:val="32"/>
          <w:shd w:val="clear" w:color="auto" w:fill="FFFFFF"/>
        </w:rPr>
        <w:t>比选申请文件初步评审表</w:t>
      </w:r>
    </w:p>
    <w:p>
      <w:pPr>
        <w:pStyle w:val="10"/>
        <w:shd w:val="clear" w:color="auto" w:fill="FFFFFF"/>
        <w:overflowPunct w:val="0"/>
        <w:spacing w:before="0" w:beforeAutospacing="0" w:after="0" w:afterAutospacing="0" w:line="580" w:lineRule="exact"/>
        <w:ind w:firstLine="640" w:firstLineChars="200"/>
        <w:jc w:val="center"/>
        <w:rPr>
          <w:rFonts w:ascii="黑体" w:hAnsi="黑体" w:eastAsia="黑体"/>
          <w:sz w:val="32"/>
          <w:szCs w:val="32"/>
          <w:shd w:val="clear" w:color="auto" w:fill="FFFFFF"/>
        </w:rPr>
      </w:pPr>
    </w:p>
    <w:tbl>
      <w:tblPr>
        <w:tblStyle w:val="11"/>
        <w:tblW w:w="9058" w:type="dxa"/>
        <w:tblInd w:w="108"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15" w:type="dxa"/>
          <w:left w:w="15" w:type="dxa"/>
          <w:bottom w:w="15" w:type="dxa"/>
          <w:right w:w="15" w:type="dxa"/>
        </w:tblCellMar>
      </w:tblPr>
      <w:tblGrid>
        <w:gridCol w:w="569"/>
        <w:gridCol w:w="6173"/>
        <w:gridCol w:w="2316"/>
      </w:tblGrid>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1257" w:hRule="atLeast"/>
        </w:trPr>
        <w:tc>
          <w:tcPr>
            <w:tcW w:w="569" w:type="dxa"/>
            <w:tcBorders>
              <w:top w:val="single" w:color="auto" w:sz="12"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序号</w:t>
            </w:r>
          </w:p>
        </w:tc>
        <w:tc>
          <w:tcPr>
            <w:tcW w:w="6173" w:type="dxa"/>
            <w:tcBorders>
              <w:top w:val="single" w:color="auto" w:sz="12"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重大偏差情况</w:t>
            </w:r>
          </w:p>
        </w:tc>
        <w:tc>
          <w:tcPr>
            <w:tcW w:w="2316" w:type="dxa"/>
            <w:tcBorders>
              <w:top w:val="single" w:color="auto" w:sz="12" w:space="0"/>
              <w:left w:val="nil"/>
              <w:bottom w:val="single" w:color="auto" w:sz="8" w:space="0"/>
              <w:right w:val="single" w:color="auto" w:sz="12"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是否存在重大偏差（填写“是”或“否”）</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69" w:type="dxa"/>
            <w:tcBorders>
              <w:top w:val="nil"/>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1</w:t>
            </w:r>
          </w:p>
        </w:tc>
        <w:tc>
          <w:tcPr>
            <w:tcW w:w="617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ind w:left="48"/>
              <w:jc w:val="both"/>
              <w:rPr>
                <w:rFonts w:ascii="宋体" w:hAnsi="宋体" w:cs="宋体"/>
                <w:sz w:val="28"/>
                <w:szCs w:val="28"/>
              </w:rPr>
            </w:pPr>
            <w:r>
              <w:rPr>
                <w:rFonts w:hint="eastAsia" w:ascii="宋体" w:hAnsi="宋体" w:cs="宋体"/>
              </w:rPr>
              <w:t>比选申请文件签字或盖章不符合比选文件要求的</w:t>
            </w:r>
          </w:p>
        </w:tc>
        <w:tc>
          <w:tcPr>
            <w:tcW w:w="2316" w:type="dxa"/>
            <w:tcBorders>
              <w:top w:val="nil"/>
              <w:left w:val="nil"/>
              <w:bottom w:val="single" w:color="auto" w:sz="8" w:space="0"/>
              <w:right w:val="single" w:color="auto" w:sz="12" w:space="0"/>
            </w:tcBorders>
            <w:shd w:val="clear" w:color="auto" w:fill="FFFFFF"/>
            <w:tcMar>
              <w:top w:w="0" w:type="dxa"/>
              <w:left w:w="108" w:type="dxa"/>
              <w:bottom w:w="0" w:type="dxa"/>
              <w:right w:w="108"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59" w:hRule="atLeast"/>
        </w:trPr>
        <w:tc>
          <w:tcPr>
            <w:tcW w:w="569" w:type="dxa"/>
            <w:tcBorders>
              <w:top w:val="nil"/>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2</w:t>
            </w:r>
          </w:p>
        </w:tc>
        <w:tc>
          <w:tcPr>
            <w:tcW w:w="617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ind w:left="48"/>
              <w:jc w:val="both"/>
              <w:rPr>
                <w:rFonts w:ascii="宋体" w:hAnsi="宋体" w:cs="宋体"/>
                <w:sz w:val="28"/>
                <w:szCs w:val="28"/>
              </w:rPr>
            </w:pPr>
            <w:r>
              <w:rPr>
                <w:rFonts w:hint="eastAsia" w:ascii="宋体" w:hAnsi="宋体" w:cs="宋体"/>
              </w:rPr>
              <w:t>明显不符合国家有关法规、文件和标准的要求的</w:t>
            </w:r>
          </w:p>
        </w:tc>
        <w:tc>
          <w:tcPr>
            <w:tcW w:w="2316" w:type="dxa"/>
            <w:tcBorders>
              <w:top w:val="nil"/>
              <w:left w:val="nil"/>
              <w:bottom w:val="single" w:color="auto" w:sz="8" w:space="0"/>
              <w:right w:val="single" w:color="auto" w:sz="12" w:space="0"/>
            </w:tcBorders>
            <w:shd w:val="clear" w:color="auto" w:fill="FFFFFF"/>
            <w:tcMar>
              <w:top w:w="0" w:type="dxa"/>
              <w:left w:w="108" w:type="dxa"/>
              <w:bottom w:w="0" w:type="dxa"/>
              <w:right w:w="108" w:type="dxa"/>
            </w:tcMar>
            <w:vAlign w:val="center"/>
          </w:tcPr>
          <w:p>
            <w:pPr>
              <w:pStyle w:val="10"/>
              <w:widowControl/>
              <w:spacing w:before="260" w:beforeAutospacing="0" w:after="260" w:afterAutospacing="0" w:line="420" w:lineRule="atLeast"/>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69" w:type="dxa"/>
            <w:tcBorders>
              <w:top w:val="nil"/>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3</w:t>
            </w:r>
          </w:p>
        </w:tc>
        <w:tc>
          <w:tcPr>
            <w:tcW w:w="617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ind w:left="48"/>
              <w:jc w:val="both"/>
              <w:rPr>
                <w:rFonts w:ascii="宋体" w:hAnsi="宋体" w:cs="宋体"/>
                <w:sz w:val="28"/>
                <w:szCs w:val="28"/>
              </w:rPr>
            </w:pPr>
            <w:r>
              <w:rPr>
                <w:rFonts w:hint="eastAsia" w:ascii="宋体" w:hAnsi="宋体" w:cs="宋体"/>
              </w:rPr>
              <w:t>比选申请文件内容不全或关键字迹模糊、无法辨认的</w:t>
            </w:r>
          </w:p>
        </w:tc>
        <w:tc>
          <w:tcPr>
            <w:tcW w:w="2316" w:type="dxa"/>
            <w:tcBorders>
              <w:top w:val="nil"/>
              <w:left w:val="nil"/>
              <w:bottom w:val="single" w:color="auto" w:sz="8" w:space="0"/>
              <w:right w:val="single" w:color="auto" w:sz="12" w:space="0"/>
            </w:tcBorders>
            <w:shd w:val="clear" w:color="auto" w:fill="FFFFFF"/>
            <w:tcMar>
              <w:top w:w="0" w:type="dxa"/>
              <w:left w:w="108" w:type="dxa"/>
              <w:bottom w:w="0" w:type="dxa"/>
              <w:right w:w="108"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69" w:type="dxa"/>
            <w:tcBorders>
              <w:top w:val="nil"/>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4</w:t>
            </w:r>
          </w:p>
        </w:tc>
        <w:tc>
          <w:tcPr>
            <w:tcW w:w="617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ind w:left="48"/>
              <w:jc w:val="both"/>
              <w:rPr>
                <w:rFonts w:ascii="宋体" w:hAnsi="宋体" w:cs="宋体"/>
                <w:sz w:val="28"/>
                <w:szCs w:val="28"/>
              </w:rPr>
            </w:pPr>
            <w:r>
              <w:rPr>
                <w:rFonts w:hint="eastAsia" w:ascii="宋体" w:hAnsi="宋体" w:cs="宋体"/>
              </w:rPr>
              <w:t>比选申请人的报价不符合比选文件规定的</w:t>
            </w:r>
          </w:p>
        </w:tc>
        <w:tc>
          <w:tcPr>
            <w:tcW w:w="2316" w:type="dxa"/>
            <w:tcBorders>
              <w:top w:val="nil"/>
              <w:left w:val="nil"/>
              <w:bottom w:val="single" w:color="auto" w:sz="8" w:space="0"/>
              <w:right w:val="single" w:color="auto" w:sz="12" w:space="0"/>
            </w:tcBorders>
            <w:shd w:val="clear" w:color="auto" w:fill="FFFFFF"/>
            <w:tcMar>
              <w:top w:w="0" w:type="dxa"/>
              <w:left w:w="108" w:type="dxa"/>
              <w:bottom w:w="0" w:type="dxa"/>
              <w:right w:w="108"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569" w:type="dxa"/>
            <w:tcBorders>
              <w:top w:val="nil"/>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jc w:val="center"/>
              <w:rPr>
                <w:rFonts w:ascii="宋体" w:hAnsi="宋体" w:cs="宋体"/>
                <w:sz w:val="28"/>
                <w:szCs w:val="28"/>
              </w:rPr>
            </w:pPr>
            <w:r>
              <w:rPr>
                <w:rFonts w:hint="eastAsia" w:ascii="宋体" w:hAnsi="宋体" w:cs="宋体"/>
              </w:rPr>
              <w:t>5</w:t>
            </w:r>
          </w:p>
        </w:tc>
        <w:tc>
          <w:tcPr>
            <w:tcW w:w="617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ind w:left="48"/>
              <w:jc w:val="both"/>
              <w:rPr>
                <w:rFonts w:ascii="宋体" w:hAnsi="宋体" w:cs="宋体"/>
                <w:sz w:val="28"/>
                <w:szCs w:val="28"/>
              </w:rPr>
            </w:pPr>
            <w:r>
              <w:rPr>
                <w:rFonts w:hint="eastAsia" w:ascii="宋体" w:hAnsi="宋体" w:cs="宋体"/>
              </w:rPr>
              <w:t>比选申请文件附有比选人不能接受的条件的</w:t>
            </w:r>
          </w:p>
        </w:tc>
        <w:tc>
          <w:tcPr>
            <w:tcW w:w="2316" w:type="dxa"/>
            <w:tcBorders>
              <w:top w:val="nil"/>
              <w:left w:val="nil"/>
              <w:bottom w:val="single" w:color="auto" w:sz="8" w:space="0"/>
              <w:right w:val="single" w:color="auto" w:sz="12" w:space="0"/>
            </w:tcBorders>
            <w:shd w:val="clear" w:color="auto" w:fill="FFFFFF"/>
            <w:tcMar>
              <w:top w:w="0" w:type="dxa"/>
              <w:left w:w="108" w:type="dxa"/>
              <w:bottom w:w="0" w:type="dxa"/>
              <w:right w:w="108" w:type="dxa"/>
            </w:tcMar>
            <w:vAlign w:val="center"/>
          </w:tcPr>
          <w:p>
            <w:pPr>
              <w:pStyle w:val="10"/>
              <w:widowControl/>
              <w:spacing w:before="260" w:beforeAutospacing="0" w:after="260" w:afterAutospacing="0" w:line="420" w:lineRule="atLeast"/>
              <w:jc w:val="both"/>
              <w:rPr>
                <w:rFonts w:ascii="宋体" w:hAnsi="宋体" w:cs="宋体"/>
                <w:sz w:val="28"/>
                <w:szCs w:val="28"/>
              </w:rPr>
            </w:pPr>
            <w:r>
              <w:rPr>
                <w:rFonts w:hint="eastAsia" w:ascii="宋体" w:hAnsi="宋体" w:cs="宋体"/>
                <w:sz w:val="28"/>
                <w:szCs w:val="28"/>
              </w:rPr>
              <w:t> </w:t>
            </w:r>
          </w:p>
        </w:tc>
      </w:tr>
      <w:tr>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c>
          <w:tcPr>
            <w:tcW w:w="6742" w:type="dxa"/>
            <w:gridSpan w:val="2"/>
            <w:tcBorders>
              <w:top w:val="nil"/>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pStyle w:val="10"/>
              <w:widowControl/>
              <w:spacing w:before="0" w:beforeAutospacing="0" w:after="0" w:afterAutospacing="0" w:line="420" w:lineRule="atLeast"/>
              <w:ind w:firstLine="120"/>
              <w:jc w:val="center"/>
              <w:rPr>
                <w:rFonts w:ascii="宋体" w:hAnsi="宋体" w:cs="宋体"/>
                <w:sz w:val="28"/>
                <w:szCs w:val="28"/>
              </w:rPr>
            </w:pPr>
            <w:r>
              <w:rPr>
                <w:rFonts w:hint="eastAsia" w:ascii="宋体" w:hAnsi="宋体" w:cs="宋体"/>
              </w:rPr>
              <w:t>结论（应填写“通过”或“不通过”）</w:t>
            </w:r>
          </w:p>
        </w:tc>
        <w:tc>
          <w:tcPr>
            <w:tcW w:w="2316" w:type="dxa"/>
            <w:tcBorders>
              <w:top w:val="nil"/>
              <w:left w:val="nil"/>
              <w:bottom w:val="single" w:color="auto" w:sz="8" w:space="0"/>
              <w:right w:val="single" w:color="auto" w:sz="12" w:space="0"/>
            </w:tcBorders>
            <w:shd w:val="clear" w:color="auto" w:fill="FFFFFF"/>
            <w:tcMar>
              <w:top w:w="0" w:type="dxa"/>
              <w:left w:w="108" w:type="dxa"/>
              <w:bottom w:w="0" w:type="dxa"/>
              <w:right w:w="108" w:type="dxa"/>
            </w:tcMar>
            <w:vAlign w:val="center"/>
          </w:tcPr>
          <w:p>
            <w:pPr>
              <w:pStyle w:val="10"/>
              <w:widowControl/>
              <w:spacing w:before="340" w:beforeAutospacing="0" w:after="330" w:afterAutospacing="0" w:line="420" w:lineRule="atLeast"/>
              <w:jc w:val="both"/>
              <w:rPr>
                <w:rFonts w:ascii="宋体" w:hAnsi="宋体" w:cs="宋体"/>
                <w:sz w:val="28"/>
                <w:szCs w:val="28"/>
              </w:rPr>
            </w:pPr>
            <w:r>
              <w:rPr>
                <w:rFonts w:hint="eastAsia" w:ascii="宋体" w:hAnsi="宋体" w:cs="宋体"/>
                <w:sz w:val="28"/>
                <w:szCs w:val="28"/>
              </w:rPr>
              <w:t> </w:t>
            </w:r>
          </w:p>
        </w:tc>
      </w:tr>
    </w:tbl>
    <w:p>
      <w:pPr>
        <w:widowControl/>
        <w:jc w:val="left"/>
      </w:pPr>
    </w:p>
    <w:p>
      <w:pPr>
        <w:pStyle w:val="10"/>
        <w:shd w:val="clear" w:color="auto" w:fill="FFFFFF"/>
        <w:overflowPunct w:val="0"/>
        <w:spacing w:before="0" w:beforeAutospacing="0" w:after="0" w:afterAutospacing="0" w:line="56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5.3上述重大偏差之外的偏差为细微偏差。评审专家应当书面要求存在细微偏差的比选申请人在详细评审前予以补正。拒不补正的，在量化评分评审时可以对细微偏差</w:t>
      </w:r>
      <w:r>
        <w:rPr>
          <w:rFonts w:hint="eastAsia" w:ascii="Times New Roman" w:hAnsi="Times New Roman" w:eastAsia="仿宋_GB2312"/>
          <w:sz w:val="32"/>
          <w:szCs w:val="32"/>
          <w:shd w:val="clear" w:color="auto" w:fill="FFFFFF"/>
          <w:lang w:eastAsia="zh-CN"/>
        </w:rPr>
        <w:t>做</w:t>
      </w:r>
      <w:r>
        <w:rPr>
          <w:rFonts w:hint="eastAsia" w:ascii="Times New Roman" w:hAnsi="Times New Roman" w:eastAsia="仿宋_GB2312"/>
          <w:sz w:val="32"/>
          <w:szCs w:val="32"/>
          <w:shd w:val="clear" w:color="auto" w:fill="FFFFFF"/>
        </w:rPr>
        <w:t>不利于比选申请人的处理。有关澄清说明与答复，比选申请人应以书面形式进行，但对报价等实质性的内容不得更改。澄清问题作为比选申请文件的组成部分。</w:t>
      </w:r>
    </w:p>
    <w:p>
      <w:pPr>
        <w:pStyle w:val="10"/>
        <w:shd w:val="clear" w:color="auto" w:fill="FFFFFF"/>
        <w:overflowPunct w:val="0"/>
        <w:spacing w:before="0" w:beforeAutospacing="0" w:after="0" w:afterAutospacing="0" w:line="560" w:lineRule="exact"/>
        <w:ind w:firstLine="640" w:firstLineChars="200"/>
        <w:jc w:val="both"/>
        <w:rPr>
          <w:rFonts w:ascii="黑体" w:hAnsi="黑体" w:eastAsia="黑体"/>
          <w:sz w:val="32"/>
          <w:szCs w:val="32"/>
          <w:shd w:val="clear" w:color="auto" w:fill="FFFFFF"/>
        </w:rPr>
      </w:pPr>
      <w:r>
        <w:rPr>
          <w:rFonts w:hint="eastAsia" w:ascii="黑体" w:hAnsi="黑体" w:eastAsia="黑体"/>
          <w:sz w:val="32"/>
          <w:szCs w:val="32"/>
          <w:shd w:val="clear" w:color="auto" w:fill="FFFFFF"/>
        </w:rPr>
        <w:t>六、量化评分并推荐中选人</w:t>
      </w:r>
    </w:p>
    <w:p>
      <w:pPr>
        <w:pStyle w:val="10"/>
        <w:shd w:val="clear" w:color="auto" w:fill="FFFFFF"/>
        <w:overflowPunct w:val="0"/>
        <w:spacing w:before="0" w:beforeAutospacing="0" w:after="0" w:afterAutospacing="0" w:line="56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6.1评审委员会根据评审结果，向比选人提交书面评审报告，在报告中对合格的比选申请人（即通过资格审查和初步评审的比选申请人，以下同）根据其最终综合得分由高到低排序推荐前一至三名，若比选申请人最终综合得分相同时，则以比选申请人报价得分较高者的排名应靠前；若报价得分也相同的，则以服务组织方案得分较高者靠前。</w:t>
      </w:r>
    </w:p>
    <w:p>
      <w:pPr>
        <w:pStyle w:val="10"/>
        <w:shd w:val="clear" w:color="auto" w:fill="FFFFFF"/>
        <w:overflowPunct w:val="0"/>
        <w:spacing w:before="0" w:beforeAutospacing="0" w:after="0" w:afterAutospacing="0" w:line="56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6.2编制比选报告，比选报告由评审委员会全体成员签字。</w:t>
      </w:r>
    </w:p>
    <w:p>
      <w:pPr>
        <w:pStyle w:val="10"/>
        <w:shd w:val="clear" w:color="auto" w:fill="FFFFFF"/>
        <w:overflowPunct w:val="0"/>
        <w:spacing w:before="0" w:beforeAutospacing="0" w:after="0" w:afterAutospacing="0" w:line="560" w:lineRule="exact"/>
        <w:ind w:firstLine="640" w:firstLineChars="200"/>
        <w:jc w:val="both"/>
        <w:rPr>
          <w:rFonts w:ascii="Times New Roman" w:hAnsi="Times New Roman" w:eastAsia="仿宋_GB2312"/>
          <w:sz w:val="32"/>
          <w:szCs w:val="32"/>
          <w:shd w:val="clear" w:color="auto" w:fill="FFFFFF"/>
        </w:rPr>
      </w:pPr>
      <w:r>
        <w:rPr>
          <w:rFonts w:hint="eastAsia" w:ascii="Times New Roman" w:hAnsi="Times New Roman" w:eastAsia="仿宋_GB2312"/>
          <w:sz w:val="32"/>
          <w:szCs w:val="32"/>
          <w:shd w:val="clear" w:color="auto" w:fill="FFFFFF"/>
        </w:rPr>
        <w:t>6.3评审结束后，比选人</w:t>
      </w:r>
      <w:r>
        <w:rPr>
          <w:rFonts w:hint="eastAsia" w:ascii="Times New Roman" w:hAnsi="Times New Roman" w:eastAsia="仿宋_GB2312"/>
          <w:sz w:val="32"/>
          <w:szCs w:val="32"/>
          <w:shd w:val="clear" w:color="auto" w:fill="FFFFFF"/>
          <w:lang w:eastAsia="zh-CN"/>
        </w:rPr>
        <w:t>根据</w:t>
      </w:r>
      <w:r>
        <w:rPr>
          <w:rFonts w:hint="eastAsia" w:ascii="Times New Roman" w:hAnsi="Times New Roman" w:eastAsia="仿宋_GB2312"/>
          <w:sz w:val="32"/>
          <w:szCs w:val="32"/>
          <w:shd w:val="clear" w:color="auto" w:fill="FFFFFF"/>
        </w:rPr>
        <w:t>评审委员会评审结果，按得分高低确定本项目中选单位。</w:t>
      </w:r>
    </w:p>
    <w:p>
      <w:pPr>
        <w:pStyle w:val="10"/>
        <w:shd w:val="clear" w:color="auto" w:fill="FFFFFF"/>
        <w:overflowPunct w:val="0"/>
        <w:spacing w:before="0" w:beforeAutospacing="0" w:after="0" w:afterAutospacing="0" w:line="560" w:lineRule="exact"/>
        <w:ind w:firstLine="640" w:firstLineChars="200"/>
        <w:jc w:val="center"/>
        <w:rPr>
          <w:rFonts w:ascii="黑体" w:hAnsi="黑体" w:eastAsia="黑体"/>
          <w:sz w:val="32"/>
          <w:szCs w:val="32"/>
          <w:shd w:val="clear" w:color="auto" w:fill="FFFFFF"/>
        </w:rPr>
      </w:pPr>
    </w:p>
    <w:p>
      <w:pPr>
        <w:pStyle w:val="10"/>
        <w:widowControl/>
        <w:shd w:val="clear" w:color="auto" w:fill="FFFFFF"/>
        <w:spacing w:before="0" w:beforeAutospacing="0" w:after="0" w:afterAutospacing="0"/>
        <w:jc w:val="both"/>
        <w:rPr>
          <w:rFonts w:ascii="宋体" w:hAnsi="宋体" w:cs="宋体"/>
          <w:sz w:val="21"/>
          <w:szCs w:val="21"/>
        </w:rPr>
      </w:pPr>
      <w:r>
        <w:rPr>
          <w:rFonts w:hint="eastAsia" w:ascii="宋体" w:hAnsi="宋体" w:cs="宋体"/>
          <w:sz w:val="21"/>
          <w:szCs w:val="21"/>
          <w:shd w:val="clear" w:color="auto" w:fill="FFFFFF"/>
        </w:rPr>
        <w:t> </w:t>
      </w:r>
    </w:p>
    <w:p>
      <w:pPr>
        <w:pStyle w:val="10"/>
        <w:shd w:val="clear" w:color="auto" w:fill="FFFFFF"/>
        <w:overflowPunct w:val="0"/>
        <w:spacing w:before="0" w:beforeAutospacing="0" w:after="0" w:afterAutospacing="0" w:line="580" w:lineRule="exact"/>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另：响应文件制作规范，没有细微偏差情形的不扣分；有一项细微偏差扣</w:t>
      </w:r>
      <w:r>
        <w:rPr>
          <w:rFonts w:hint="eastAsia" w:ascii="仿宋_GB2312" w:hAnsi="仿宋_GB2312" w:eastAsia="仿宋_GB2312" w:cs="仿宋_GB2312"/>
          <w:sz w:val="32"/>
          <w:szCs w:val="32"/>
          <w:lang w:val="en-US" w:eastAsia="zh-CN"/>
        </w:rPr>
        <w:t>1分，最多扣10分。</w:t>
      </w:r>
      <w:bookmarkStart w:id="0" w:name="_GoBack"/>
      <w:bookmarkEnd w:id="0"/>
    </w:p>
    <w:sectPr>
      <w:footerReference r:id="rId3" w:type="default"/>
      <w:pgSz w:w="11906" w:h="16838"/>
      <w:pgMar w:top="1701" w:right="1474" w:bottom="170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10</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q2OabWAQAAsgMAAA4AAABkcnMv&#10;ZTJvRG9jLnhtbK1TzY7TMBC+I/EOlu80aQ+oipqugGoREgKkhQdwHaex5D95pk3KA8AbcOLCnefq&#10;czB2ku6yXPbAJRmPx9983+fx5mawhp1UBO1dzZeLkjPlpG+0O9T8y+fbF2vOAIVrhPFO1fysgN9s&#10;nz/b9KFSK99506jICMRB1Yead4ihKgqQnbICFj4oR5utj1YgLeOhaKLoCd2aYlWWL4vexyZELxUA&#10;ZXfjJp8Q41MAfdtqqXZeHq1yOKJGZQSSJOh0AL7NbNtWSfzYtqCQmZqTUsxfakLxPn2L7UZUhyhC&#10;p+VEQTyFwiNNVmhHTa9QO4GCHaP+B8pqGT34FhfS22IUkh0hFcvykTd3nQgqayGrIVxNh/8HKz+c&#10;PkWmG5oEzpywdOGXH98vP39ffn1jy2RPH6CiqrtAdTi89kMqnfJAyaR6aKNNf9LDaJ/MPV/NVQMy&#10;mQ6tV+t1SVuS9uYF4RT3x0MEfKu8ZSmoeaTby6aK03vAsXQuSd2cv9XGUF5Uxv2VIMyUKRL3kWOK&#10;cNgPE/G9b86kh54B9el8/MpZT0NQc0czz5l558jjNC9zEOdgPwfCSTpYc+RsDN9gnqtEBMKrIxK7&#10;TDq1HvtNjOgqs+xp7NKsPFznqvuntv0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UAAAACACH&#10;TuJAihRmPNEAAACUAQAACwAAAAAAAAABACAAAABaAwAAX3JlbHMvLnJlbHNQSwECFAAUAAAACACH&#10;TuJAzql5uc8AAAAFAQAADwAAAAAAAAABACAAAAA4AAAAZHJzL2Rvd25yZXYueG1sUEsBAhQAFAAA&#10;AAgAh07iQOq2OabWAQAAsgMAAA4AAAAAAAAAAQAgAAAANAEAAGRycy9lMm9Eb2MueG1sUEsBAhQA&#10;CgAAAAAAh07iQAAAAAAAAAAAAAAAAAQAAAAAAAAAAAAQAAAAFgAAAGRycy9QSwECFAAKAAAAAACH&#10;TuJAAAAAAAAAAAAAAAAABgAAAAAAAAAAABAAAAA2AwAAX3JlbHMvUEsFBgAAAAAGAAYAWQEAAHwF&#10;A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ZWRhODkzMDcxNjgyN2E2ZjUyYzIwZmQ0Y2VjYTMifQ=="/>
  </w:docVars>
  <w:rsids>
    <w:rsidRoot w:val="00DB460B"/>
    <w:rsid w:val="00061049"/>
    <w:rsid w:val="000F342C"/>
    <w:rsid w:val="002228D8"/>
    <w:rsid w:val="003B0742"/>
    <w:rsid w:val="004500D6"/>
    <w:rsid w:val="004C6A52"/>
    <w:rsid w:val="00502512"/>
    <w:rsid w:val="005615B8"/>
    <w:rsid w:val="005F6EAB"/>
    <w:rsid w:val="006A4A70"/>
    <w:rsid w:val="009C2AF2"/>
    <w:rsid w:val="00B6768C"/>
    <w:rsid w:val="00CE486E"/>
    <w:rsid w:val="00DB460B"/>
    <w:rsid w:val="00DE3310"/>
    <w:rsid w:val="00E04E05"/>
    <w:rsid w:val="00E50235"/>
    <w:rsid w:val="00F74D65"/>
    <w:rsid w:val="00FD482E"/>
    <w:rsid w:val="111156C1"/>
    <w:rsid w:val="11FF5F06"/>
    <w:rsid w:val="20C75D9C"/>
    <w:rsid w:val="35EF5421"/>
    <w:rsid w:val="36DF90CF"/>
    <w:rsid w:val="3BB7A4DC"/>
    <w:rsid w:val="3EAB0813"/>
    <w:rsid w:val="48DC332D"/>
    <w:rsid w:val="4AFB986C"/>
    <w:rsid w:val="4BFBB63E"/>
    <w:rsid w:val="4C536A94"/>
    <w:rsid w:val="4C56394D"/>
    <w:rsid w:val="50FB0FC7"/>
    <w:rsid w:val="51BE9FA1"/>
    <w:rsid w:val="595903EF"/>
    <w:rsid w:val="5E294E34"/>
    <w:rsid w:val="5F2E50B7"/>
    <w:rsid w:val="5F7C22CE"/>
    <w:rsid w:val="5FE3E067"/>
    <w:rsid w:val="5FFF31D5"/>
    <w:rsid w:val="6DB7EF41"/>
    <w:rsid w:val="6E33EF25"/>
    <w:rsid w:val="6EBDA0B1"/>
    <w:rsid w:val="6EFECB1E"/>
    <w:rsid w:val="6FF61201"/>
    <w:rsid w:val="6FFE8B38"/>
    <w:rsid w:val="77996618"/>
    <w:rsid w:val="77FABCB1"/>
    <w:rsid w:val="77FD12F6"/>
    <w:rsid w:val="77FF1057"/>
    <w:rsid w:val="79759900"/>
    <w:rsid w:val="7AFFD2FB"/>
    <w:rsid w:val="7BF7ADFC"/>
    <w:rsid w:val="7DFF5865"/>
    <w:rsid w:val="7E76614E"/>
    <w:rsid w:val="7EFE09FE"/>
    <w:rsid w:val="7F364243"/>
    <w:rsid w:val="7F5F6F27"/>
    <w:rsid w:val="7F7F4A86"/>
    <w:rsid w:val="7FDFCB15"/>
    <w:rsid w:val="7FEDFCC7"/>
    <w:rsid w:val="7FFD4A63"/>
    <w:rsid w:val="9DE5D12F"/>
    <w:rsid w:val="9FDED144"/>
    <w:rsid w:val="A6EA9322"/>
    <w:rsid w:val="AD7F5337"/>
    <w:rsid w:val="AEBE51A5"/>
    <w:rsid w:val="AF4ED949"/>
    <w:rsid w:val="B2E9463D"/>
    <w:rsid w:val="BE79675C"/>
    <w:rsid w:val="BF5E6FB0"/>
    <w:rsid w:val="BFE784C8"/>
    <w:rsid w:val="BFFDE671"/>
    <w:rsid w:val="C7D7B8B0"/>
    <w:rsid w:val="CBF7FDEC"/>
    <w:rsid w:val="CEF707F1"/>
    <w:rsid w:val="CFF50E50"/>
    <w:rsid w:val="D5854E5F"/>
    <w:rsid w:val="D78EF72B"/>
    <w:rsid w:val="D7B7AC9B"/>
    <w:rsid w:val="DB7BE01D"/>
    <w:rsid w:val="DBFFCD7C"/>
    <w:rsid w:val="DEEBDC28"/>
    <w:rsid w:val="DFCF7616"/>
    <w:rsid w:val="DFFFB5A7"/>
    <w:rsid w:val="DFFFF69C"/>
    <w:rsid w:val="E3FFA48D"/>
    <w:rsid w:val="E6AF2F55"/>
    <w:rsid w:val="E71C5DB2"/>
    <w:rsid w:val="EB9E9D6A"/>
    <w:rsid w:val="EBFFBE1D"/>
    <w:rsid w:val="EEB3DC5A"/>
    <w:rsid w:val="EEBBB9E3"/>
    <w:rsid w:val="EEFE7CF9"/>
    <w:rsid w:val="EF7788A7"/>
    <w:rsid w:val="EFEE89FA"/>
    <w:rsid w:val="EFEF446C"/>
    <w:rsid w:val="F74D401A"/>
    <w:rsid w:val="F7BB88A5"/>
    <w:rsid w:val="F7FF8F97"/>
    <w:rsid w:val="FB1F23DA"/>
    <w:rsid w:val="FBB46E50"/>
    <w:rsid w:val="FC7EB750"/>
    <w:rsid w:val="FCDFB6BB"/>
    <w:rsid w:val="FDBFBCA3"/>
    <w:rsid w:val="FE7B32EC"/>
    <w:rsid w:val="FF774956"/>
    <w:rsid w:val="FF7798FC"/>
    <w:rsid w:val="FF7ECDDD"/>
    <w:rsid w:val="FF9FB9F4"/>
    <w:rsid w:val="FFFE03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2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1"/>
    <w:next w:val="1"/>
    <w:unhideWhenUsed/>
    <w:qFormat/>
    <w:uiPriority w:val="0"/>
    <w:pPr>
      <w:spacing w:before="100" w:beforeAutospacing="1" w:after="100" w:afterAutospacing="1"/>
      <w:jc w:val="left"/>
      <w:outlineLvl w:val="1"/>
    </w:pPr>
    <w:rPr>
      <w:rFonts w:hint="eastAsia" w:ascii="宋体" w:hAnsi="宋体"/>
      <w:b/>
      <w:kern w:val="0"/>
      <w:sz w:val="36"/>
      <w:szCs w:val="36"/>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next w:val="1"/>
    <w:qFormat/>
    <w:uiPriority w:val="99"/>
    <w:pPr>
      <w:widowControl w:val="0"/>
      <w:spacing w:after="120"/>
      <w:jc w:val="both"/>
    </w:pPr>
    <w:rPr>
      <w:rFonts w:ascii="Calibri" w:hAnsi="Calibri" w:eastAsia="宋体" w:cs="Times New Roman"/>
      <w:kern w:val="2"/>
      <w:sz w:val="21"/>
      <w:szCs w:val="24"/>
      <w:lang w:val="en-US" w:eastAsia="zh-CN" w:bidi="ar-SA"/>
    </w:rPr>
  </w:style>
  <w:style w:type="paragraph" w:styleId="5">
    <w:name w:val="Balloon Text"/>
    <w:basedOn w:val="1"/>
    <w:link w:val="14"/>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2"/>
    <w:basedOn w:val="1"/>
    <w:next w:val="1"/>
    <w:qFormat/>
    <w:uiPriority w:val="29"/>
    <w:pPr>
      <w:ind w:left="420"/>
    </w:p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Hyperlink"/>
    <w:basedOn w:val="12"/>
    <w:qFormat/>
    <w:uiPriority w:val="0"/>
    <w:rPr>
      <w:color w:val="0000FF"/>
      <w:u w:val="single"/>
    </w:rPr>
  </w:style>
  <w:style w:type="character" w:customStyle="1" w:styleId="14">
    <w:name w:val="批注框文本 Char"/>
    <w:basedOn w:val="12"/>
    <w:link w:val="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4545</Words>
  <Characters>4653</Characters>
  <Lines>46</Lines>
  <Paragraphs>13</Paragraphs>
  <TotalTime>15</TotalTime>
  <ScaleCrop>false</ScaleCrop>
  <LinksUpToDate>false</LinksUpToDate>
  <CharactersWithSpaces>5260</CharactersWithSpaces>
  <Application>WPS Office_11.8.2.11763_F1E327BC-269C-435d-A152-05C5408002CA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2023-07-26T19:44:00Z</dcterms:created>
  <dc:creator>Administrator</dc:creator>
  <cp:lastModifiedBy>kylin</cp:lastModifiedBy>
  <cp:lastPrinted>2026-07-31T17:18:00Z</cp:lastPrinted>
  <dcterms:modified xsi:type="dcterms:W3CDTF">2026-07-31T15:53:01Z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2052-11.8.2.11763</vt:lpwstr>
  </property>
  <property fmtid="{D5CDD505-2E9C-101B-9397-08002B2CF9AE}" pid="3" name="ICV">
    <vt:lpwstr>583E76C8F01F8C7E5D546C6A01935E4D</vt:lpwstr>
  </property>
</Properties>
</file>