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eastAsia="宋体"/>
          <w:lang w:eastAsia="zh-CN"/>
        </w:rPr>
      </w:pPr>
      <w:r>
        <w:rPr>
          <w:rFonts w:hint="eastAsia" w:ascii="仿宋_GB2312" w:hAnsi="仿宋_GB2312" w:eastAsia="仿宋_GB2312" w:cs="仿宋_GB2312"/>
          <w:sz w:val="28"/>
          <w:szCs w:val="28"/>
          <w:lang w:eastAsia="zh-CN"/>
        </w:rPr>
        <w:t>附件：</w:t>
      </w:r>
    </w:p>
    <w:p>
      <w:pPr>
        <w:pStyle w:val="6"/>
        <w:jc w:val="center"/>
      </w:pPr>
      <w:r>
        <w:rPr>
          <w:rFonts w:hint="eastAsia" w:ascii="仿宋_GB2312" w:hAnsi="仿宋_GB2312" w:eastAsia="仿宋_GB2312"/>
          <w:snapToGrid/>
          <w:sz w:val="32"/>
          <w:lang w:val="en-US" w:eastAsia="zh-CN"/>
        </w:rPr>
        <w:t>评分表</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pStyle w:val="7"/>
              <w:spacing w:line="240" w:lineRule="auto"/>
              <w:jc w:val="center"/>
              <w:rPr>
                <w:rFonts w:hint="eastAsia" w:ascii="宋体" w:hAnsi="宋体" w:eastAsia="宋体" w:cs="宋体"/>
                <w:sz w:val="21"/>
                <w:szCs w:val="21"/>
              </w:rPr>
            </w:pPr>
            <w:r>
              <w:rPr>
                <w:rFonts w:hint="eastAsia" w:ascii="宋体" w:hAnsi="宋体" w:eastAsia="宋体" w:cs="宋体"/>
                <w:sz w:val="21"/>
                <w:szCs w:val="21"/>
              </w:rPr>
              <w:t>分值构成</w:t>
            </w:r>
          </w:p>
        </w:tc>
        <w:tc>
          <w:tcPr>
            <w:tcW w:w="7383" w:type="dxa"/>
            <w:gridSpan w:val="2"/>
            <w:noWrap w:val="0"/>
            <w:vAlign w:val="top"/>
          </w:tcPr>
          <w:p>
            <w:pPr>
              <w:pStyle w:val="7"/>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.0分</w:t>
            </w:r>
          </w:p>
          <w:p>
            <w:pPr>
              <w:pStyle w:val="7"/>
              <w:spacing w:line="240" w:lineRule="auto"/>
              <w:jc w:val="left"/>
              <w:rPr>
                <w:rFonts w:hint="eastAsia" w:ascii="宋体" w:hAnsi="宋体" w:eastAsia="宋体" w:cs="宋体"/>
                <w:sz w:val="21"/>
                <w:szCs w:val="21"/>
                <w:lang w:val="en-US" w:eastAsia="zh-Hans"/>
              </w:rPr>
            </w:pPr>
            <w:r>
              <w:rPr>
                <w:rFonts w:hint="eastAsia" w:ascii="宋体" w:hAnsi="宋体" w:eastAsia="宋体" w:cs="宋体"/>
                <w:sz w:val="21"/>
                <w:szCs w:val="21"/>
              </w:rPr>
              <w:t>技</w:t>
            </w:r>
            <w:r>
              <w:rPr>
                <w:rFonts w:hint="eastAsia" w:ascii="宋体" w:hAnsi="宋体" w:eastAsia="宋体" w:cs="宋体"/>
                <w:sz w:val="21"/>
                <w:szCs w:val="21"/>
                <w:lang w:val="en-US" w:eastAsia="zh-Hans"/>
              </w:rPr>
              <w:t>术部分</w:t>
            </w:r>
            <w:r>
              <w:rPr>
                <w:rFonts w:hint="eastAsia" w:ascii="宋体" w:hAnsi="宋体" w:eastAsia="宋体" w:cs="宋体"/>
                <w:sz w:val="21"/>
                <w:szCs w:val="21"/>
                <w:lang w:val="en-US" w:eastAsia="zh-CN"/>
              </w:rPr>
              <w:t>55</w:t>
            </w:r>
            <w:r>
              <w:rPr>
                <w:rFonts w:hint="eastAsia" w:ascii="宋体" w:hAnsi="宋体" w:eastAsia="宋体" w:cs="宋体"/>
                <w:sz w:val="21"/>
                <w:szCs w:val="21"/>
                <w:lang w:val="en-US" w:eastAsia="zh-Hans"/>
              </w:rPr>
              <w:t>.0分</w:t>
            </w:r>
          </w:p>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Hans"/>
              </w:rPr>
              <w:t>报价得分</w:t>
            </w:r>
            <w:r>
              <w:rPr>
                <w:rFonts w:hint="eastAsia" w:ascii="宋体" w:hAnsi="宋体" w:eastAsia="宋体" w:cs="宋体"/>
                <w:sz w:val="21"/>
                <w:szCs w:val="21"/>
                <w:lang w:val="en-US" w:eastAsia="zh-CN"/>
              </w:rPr>
              <w:t>15</w:t>
            </w:r>
            <w:r>
              <w:rPr>
                <w:rFonts w:hint="eastAsia" w:ascii="宋体" w:hAnsi="宋体" w:eastAsia="宋体" w:cs="宋体"/>
                <w:sz w:val="21"/>
                <w:szCs w:val="21"/>
                <w:lang w:val="en-US" w:eastAsia="zh-Hans"/>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pStyle w:val="7"/>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技术部分</w:t>
            </w:r>
          </w:p>
        </w:tc>
        <w:tc>
          <w:tcPr>
            <w:tcW w:w="2307" w:type="dxa"/>
            <w:noWrap w:val="0"/>
            <w:vAlign w:val="top"/>
          </w:tcPr>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rPr>
              <w:t>项目实施方案 (1</w:t>
            </w:r>
            <w:r>
              <w:rPr>
                <w:rFonts w:hint="eastAsia" w:ascii="宋体" w:hAnsi="宋体" w:eastAsia="宋体" w:cs="宋体"/>
                <w:sz w:val="21"/>
                <w:szCs w:val="21"/>
                <w:lang w:val="en-US" w:eastAsia="zh-CN"/>
              </w:rPr>
              <w:t>5</w:t>
            </w:r>
            <w:r>
              <w:rPr>
                <w:rFonts w:hint="eastAsia" w:ascii="宋体" w:hAnsi="宋体" w:eastAsia="宋体" w:cs="宋体"/>
                <w:sz w:val="21"/>
                <w:szCs w:val="21"/>
              </w:rPr>
              <w:t>.0分)</w:t>
            </w:r>
          </w:p>
        </w:tc>
        <w:tc>
          <w:tcPr>
            <w:tcW w:w="5076" w:type="dxa"/>
            <w:noWrap w:val="0"/>
            <w:vAlign w:val="top"/>
          </w:tcPr>
          <w:p>
            <w:pPr>
              <w:pStyle w:val="7"/>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根据投标人针对本项目提出的项目实施方案【包括但不限于教学计划的科学性、培训课程设置与培育需求的匹配度、培训内容与目标的适配性、培训理念的适用性与实效性、培训形式的创新性与实用性、考核方式的合理性，以及技术保障措施的完备性（如教学设备支撑、技术团队配置等）等】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spacing w:line="240" w:lineRule="auto"/>
              <w:rPr>
                <w:rFonts w:hint="eastAsia" w:ascii="宋体" w:hAnsi="宋体" w:eastAsia="宋体" w:cs="宋体"/>
                <w:sz w:val="21"/>
                <w:szCs w:val="21"/>
              </w:rPr>
            </w:pPr>
          </w:p>
        </w:tc>
        <w:tc>
          <w:tcPr>
            <w:tcW w:w="2307" w:type="dxa"/>
            <w:noWrap w:val="0"/>
            <w:vAlign w:val="top"/>
          </w:tcPr>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培训管理体系</w:t>
            </w: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tc>
        <w:tc>
          <w:tcPr>
            <w:tcW w:w="5076" w:type="dxa"/>
            <w:noWrap w:val="0"/>
            <w:vAlign w:val="top"/>
          </w:tcPr>
          <w:p>
            <w:pPr>
              <w:pStyle w:val="7"/>
              <w:numPr>
                <w:ilvl w:val="0"/>
                <w:numId w:val="0"/>
              </w:num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根据投标人针对本项目提出的培训管理体系【包括但不限于全程监管机制（含过程督导、质量把控措施）、档案登记制度（含学员信息、培训记录等规范化管理办法）、培训特色亮点（聚焦主题设计创新性、课程内容差异化、考核评估多元化等独特优势）等】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spacing w:line="240" w:lineRule="auto"/>
              <w:rPr>
                <w:rFonts w:hint="eastAsia" w:ascii="宋体" w:hAnsi="宋体" w:eastAsia="宋体" w:cs="宋体"/>
                <w:sz w:val="21"/>
                <w:szCs w:val="21"/>
              </w:rPr>
            </w:pPr>
          </w:p>
        </w:tc>
        <w:tc>
          <w:tcPr>
            <w:tcW w:w="2307" w:type="dxa"/>
            <w:noWrap w:val="0"/>
            <w:vAlign w:val="top"/>
          </w:tcPr>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rPr>
              <w:t>后续跟</w:t>
            </w:r>
            <w:r>
              <w:rPr>
                <w:rFonts w:hint="eastAsia" w:ascii="宋体" w:hAnsi="宋体" w:eastAsia="宋体" w:cs="宋体"/>
                <w:sz w:val="21"/>
                <w:szCs w:val="21"/>
                <w:lang w:val="en-US" w:eastAsia="zh-Hans"/>
              </w:rPr>
              <w:t>踪服务 (</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5</w:t>
            </w:r>
            <w:bookmarkStart w:id="0" w:name="_GoBack"/>
            <w:bookmarkEnd w:id="0"/>
            <w:r>
              <w:rPr>
                <w:rFonts w:hint="eastAsia" w:ascii="宋体" w:hAnsi="宋体" w:eastAsia="宋体" w:cs="宋体"/>
                <w:sz w:val="21"/>
                <w:szCs w:val="21"/>
                <w:lang w:val="en-US" w:eastAsia="zh-Hans"/>
              </w:rPr>
              <w:t>.0分)</w:t>
            </w:r>
          </w:p>
        </w:tc>
        <w:tc>
          <w:tcPr>
            <w:tcW w:w="5076" w:type="dxa"/>
            <w:noWrap w:val="0"/>
            <w:vAlign w:val="top"/>
          </w:tcPr>
          <w:p>
            <w:pPr>
              <w:pStyle w:val="7"/>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根据投标人提供的后续跟踪服务【包括但不限于跟踪服务的周期与方式（如线上指导、实地回访等）、针对性帮扶措施（如技术难题解答、产业发展建议等），以及资质技能认证提升（协助申请相关职称、许可证，获得技能认证、资格认证等）】进行评审</w:t>
            </w:r>
            <w:r>
              <w:rPr>
                <w:rFonts w:hint="eastAsia" w:ascii="宋体" w:hAnsi="宋体" w:eastAsia="宋体" w:cs="宋体"/>
                <w:sz w:val="21"/>
                <w:szCs w:val="21"/>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spacing w:line="240" w:lineRule="auto"/>
              <w:rPr>
                <w:rFonts w:hint="eastAsia" w:ascii="宋体" w:hAnsi="宋体" w:eastAsia="宋体" w:cs="宋体"/>
                <w:sz w:val="21"/>
                <w:szCs w:val="21"/>
              </w:rPr>
            </w:pPr>
          </w:p>
        </w:tc>
        <w:tc>
          <w:tcPr>
            <w:tcW w:w="2307" w:type="dxa"/>
            <w:noWrap w:val="0"/>
            <w:vAlign w:val="top"/>
          </w:tcPr>
          <w:p>
            <w:pPr>
              <w:pStyle w:val="7"/>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培育资质（7分）</w:t>
            </w:r>
          </w:p>
        </w:tc>
        <w:tc>
          <w:tcPr>
            <w:tcW w:w="5076" w:type="dxa"/>
            <w:noWrap w:val="0"/>
            <w:vAlign w:val="top"/>
          </w:tcPr>
          <w:p>
            <w:pPr>
              <w:pStyle w:val="7"/>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投标人已列入《2025 年广东省高素质农民培育基地入库名单》（粤农农办〔2025〕86 号）附件1“综合类基地”名单，且培育专题与本项目主要内容完全匹配的，得7分。投标人不在名单内，但承诺其具备与本项目主要内容相匹配的培训条件和能力的，得3.5分（投标时提供承诺函作为证明材料，承诺格式自拟）。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spacing w:line="240" w:lineRule="auto"/>
              <w:rPr>
                <w:rFonts w:hint="eastAsia" w:ascii="宋体" w:hAnsi="宋体" w:eastAsia="宋体" w:cs="宋体"/>
                <w:sz w:val="21"/>
                <w:szCs w:val="21"/>
              </w:rPr>
            </w:pPr>
          </w:p>
        </w:tc>
        <w:tc>
          <w:tcPr>
            <w:tcW w:w="2307" w:type="dxa"/>
            <w:noWrap w:val="0"/>
            <w:vAlign w:val="top"/>
          </w:tcPr>
          <w:p>
            <w:pPr>
              <w:pStyle w:val="7"/>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实训基地 (7分)</w:t>
            </w:r>
          </w:p>
        </w:tc>
        <w:tc>
          <w:tcPr>
            <w:tcW w:w="5076" w:type="dxa"/>
            <w:noWrap w:val="0"/>
            <w:vAlign w:val="top"/>
          </w:tcPr>
          <w:p>
            <w:pPr>
              <w:pStyle w:val="7"/>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投标人已落实与</w:t>
            </w:r>
            <w:r>
              <w:rPr>
                <w:rFonts w:hint="eastAsia" w:ascii="宋体" w:hAnsi="宋体" w:eastAsia="宋体" w:cs="宋体"/>
                <w:sz w:val="21"/>
                <w:szCs w:val="21"/>
                <w:lang w:val="en-US" w:eastAsia="zh-CN"/>
              </w:rPr>
              <w:t>本项目</w:t>
            </w:r>
            <w:r>
              <w:rPr>
                <w:rFonts w:hint="default" w:ascii="宋体" w:hAnsi="宋体" w:eastAsia="宋体" w:cs="宋体"/>
                <w:sz w:val="21"/>
                <w:szCs w:val="21"/>
                <w:lang w:val="en-US" w:eastAsia="zh-CN"/>
              </w:rPr>
              <w:t>主要内容匹配的实训基地，且已列入《2025 年广东省高素质农民培育基地入库名单》（粤农农办〔2025〕86 号）附件2“专业类基地” 名单的，得7分；投标人已落实不在“专业类基地” 名单的实训基地，得3.5分。注：实训基地不在“专业类基地”名单的，提供有效的合作协议扫描件作为证明材料。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2" w:hRule="atLeast"/>
        </w:trPr>
        <w:tc>
          <w:tcPr>
            <w:tcW w:w="922" w:type="dxa"/>
            <w:vMerge w:val="restart"/>
            <w:noWrap w:val="0"/>
            <w:vAlign w:val="top"/>
          </w:tcPr>
          <w:p>
            <w:pPr>
              <w:pStyle w:val="7"/>
              <w:spacing w:line="240" w:lineRule="auto"/>
              <w:jc w:val="center"/>
              <w:rPr>
                <w:rFonts w:hint="eastAsia" w:ascii="宋体" w:hAnsi="宋体" w:eastAsia="宋体" w:cs="宋体"/>
                <w:sz w:val="21"/>
                <w:szCs w:val="21"/>
              </w:rPr>
            </w:pPr>
            <w:r>
              <w:rPr>
                <w:rFonts w:hint="eastAsia" w:ascii="宋体" w:hAnsi="宋体" w:eastAsia="宋体" w:cs="宋体"/>
                <w:sz w:val="21"/>
                <w:szCs w:val="21"/>
              </w:rPr>
              <w:t>商务部分</w:t>
            </w:r>
          </w:p>
        </w:tc>
        <w:tc>
          <w:tcPr>
            <w:tcW w:w="2307" w:type="dxa"/>
            <w:noWrap w:val="0"/>
            <w:vAlign w:val="top"/>
          </w:tcPr>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rPr>
              <w:t>同类项目业绩经验 (</w:t>
            </w:r>
            <w:r>
              <w:rPr>
                <w:rFonts w:hint="eastAsia" w:ascii="宋体" w:hAnsi="宋体" w:eastAsia="宋体" w:cs="宋体"/>
                <w:sz w:val="21"/>
                <w:szCs w:val="21"/>
                <w:lang w:val="en-US" w:eastAsia="zh-CN"/>
              </w:rPr>
              <w:t>10</w:t>
            </w:r>
            <w:r>
              <w:rPr>
                <w:rFonts w:hint="eastAsia" w:ascii="宋体" w:hAnsi="宋体" w:eastAsia="宋体" w:cs="宋体"/>
                <w:sz w:val="21"/>
                <w:szCs w:val="21"/>
              </w:rPr>
              <w:t>.0分)</w:t>
            </w:r>
          </w:p>
        </w:tc>
        <w:tc>
          <w:tcPr>
            <w:tcW w:w="5076" w:type="dxa"/>
            <w:noWrap w:val="0"/>
            <w:vAlign w:val="top"/>
          </w:tcPr>
          <w:p>
            <w:pPr>
              <w:pStyle w:val="7"/>
              <w:spacing w:line="240" w:lineRule="auto"/>
              <w:jc w:val="left"/>
              <w:rPr>
                <w:rFonts w:hint="eastAsia" w:ascii="宋体" w:hAnsi="宋体" w:eastAsia="宋体" w:cs="宋体"/>
              </w:rPr>
            </w:pPr>
            <w:r>
              <w:rPr>
                <w:rFonts w:hint="eastAsia" w:ascii="宋体" w:hAnsi="宋体" w:eastAsia="宋体" w:cs="宋体"/>
                <w:sz w:val="21"/>
                <w:szCs w:val="21"/>
              </w:rPr>
              <w:t>投标人需具有农业农村类培训项目服务经验，每提供一个得2分</w:t>
            </w:r>
          </w:p>
          <w:p>
            <w:pPr>
              <w:pStyle w:val="7"/>
              <w:spacing w:line="240" w:lineRule="auto"/>
              <w:jc w:val="left"/>
              <w:rPr>
                <w:rFonts w:hint="eastAsia" w:ascii="宋体" w:hAnsi="宋体" w:eastAsia="宋体" w:cs="宋体"/>
                <w:lang w:val="en-US" w:eastAsia="zh-CN"/>
              </w:rPr>
            </w:pPr>
            <w:r>
              <w:rPr>
                <w:rFonts w:hint="eastAsia" w:ascii="宋体" w:hAnsi="宋体" w:eastAsia="宋体" w:cs="宋体"/>
                <w:sz w:val="21"/>
                <w:szCs w:val="21"/>
                <w:lang w:val="en-US" w:eastAsia="zh-CN"/>
              </w:rPr>
              <w:t>注：提供2022年1月1日至今合同关键页扫描件（含签订合同双方的单位名称、合同项目名称、含签订合同双方的落款盖章、签订日期等关键页）。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spacing w:line="240" w:lineRule="auto"/>
              <w:rPr>
                <w:rFonts w:hint="eastAsia" w:ascii="宋体" w:hAnsi="宋体" w:eastAsia="宋体" w:cs="宋体"/>
                <w:sz w:val="21"/>
                <w:szCs w:val="21"/>
              </w:rPr>
            </w:pPr>
          </w:p>
        </w:tc>
        <w:tc>
          <w:tcPr>
            <w:tcW w:w="2307" w:type="dxa"/>
            <w:noWrap w:val="0"/>
            <w:vAlign w:val="top"/>
          </w:tcPr>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rPr>
              <w:t>拟投入本项目服务团队情况(</w:t>
            </w:r>
            <w:r>
              <w:rPr>
                <w:rFonts w:hint="eastAsia" w:ascii="宋体" w:hAnsi="宋体" w:eastAsia="宋体" w:cs="宋体"/>
                <w:sz w:val="21"/>
                <w:szCs w:val="21"/>
                <w:lang w:val="en-US" w:eastAsia="zh-CN"/>
              </w:rPr>
              <w:t>10</w:t>
            </w:r>
            <w:r>
              <w:rPr>
                <w:rFonts w:hint="eastAsia" w:ascii="宋体" w:hAnsi="宋体" w:eastAsia="宋体" w:cs="宋体"/>
                <w:sz w:val="21"/>
                <w:szCs w:val="21"/>
              </w:rPr>
              <w:t>.0分)</w:t>
            </w:r>
          </w:p>
        </w:tc>
        <w:tc>
          <w:tcPr>
            <w:tcW w:w="5076" w:type="dxa"/>
            <w:noWrap w:val="0"/>
            <w:vAlign w:val="top"/>
          </w:tcPr>
          <w:p>
            <w:pPr>
              <w:pStyle w:val="7"/>
              <w:numPr>
                <w:ilvl w:val="0"/>
                <w:numId w:val="0"/>
              </w:num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投标人拟投入本项目的服务团队人员</w:t>
            </w:r>
            <w:r>
              <w:rPr>
                <w:rFonts w:hint="eastAsia" w:ascii="宋体" w:hAnsi="宋体" w:eastAsia="宋体" w:cs="宋体"/>
                <w:sz w:val="21"/>
                <w:szCs w:val="21"/>
                <w:lang w:val="en-US" w:eastAsia="zh-CN"/>
              </w:rPr>
              <w:t>具有</w:t>
            </w:r>
            <w:r>
              <w:rPr>
                <w:rFonts w:hint="eastAsia" w:ascii="宋体" w:hAnsi="宋体" w:eastAsia="宋体" w:cs="宋体"/>
                <w:sz w:val="21"/>
                <w:szCs w:val="21"/>
              </w:rPr>
              <w:t>农业类相关专业或管理类相关专业</w:t>
            </w:r>
            <w:r>
              <w:rPr>
                <w:rFonts w:hint="eastAsia" w:ascii="宋体" w:hAnsi="宋体" w:eastAsia="宋体" w:cs="宋体"/>
                <w:sz w:val="21"/>
                <w:szCs w:val="21"/>
                <w:lang w:val="en-US" w:eastAsia="zh-CN"/>
              </w:rPr>
              <w:t>本</w:t>
            </w:r>
            <w:r>
              <w:rPr>
                <w:rFonts w:hint="eastAsia" w:ascii="宋体" w:hAnsi="宋体" w:eastAsia="宋体" w:cs="宋体"/>
                <w:sz w:val="21"/>
                <w:szCs w:val="21"/>
              </w:rPr>
              <w:t>科（或以上）学历，每提供一名得1分，</w:t>
            </w:r>
            <w:r>
              <w:rPr>
                <w:rFonts w:hint="eastAsia" w:ascii="宋体" w:hAnsi="宋体" w:eastAsia="宋体" w:cs="宋体"/>
                <w:sz w:val="21"/>
                <w:szCs w:val="21"/>
                <w:lang w:val="en-US" w:eastAsia="zh-CN"/>
              </w:rPr>
              <w:t>本子项</w:t>
            </w:r>
            <w:r>
              <w:rPr>
                <w:rFonts w:hint="eastAsia" w:ascii="宋体" w:hAnsi="宋体" w:eastAsia="宋体" w:cs="宋体"/>
                <w:sz w:val="21"/>
                <w:szCs w:val="21"/>
              </w:rPr>
              <w:t>最高得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w:t>
            </w:r>
          </w:p>
          <w:p>
            <w:pPr>
              <w:pStyle w:val="7"/>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投标人拟投入本项目的服务团队人员</w:t>
            </w:r>
            <w:r>
              <w:rPr>
                <w:rFonts w:hint="eastAsia" w:ascii="宋体" w:hAnsi="宋体" w:eastAsia="宋体" w:cs="宋体"/>
                <w:sz w:val="21"/>
                <w:szCs w:val="21"/>
                <w:lang w:val="en-US" w:eastAsia="zh-CN"/>
              </w:rPr>
              <w:t>具有农业类或管理类相关专业</w:t>
            </w:r>
            <w:r>
              <w:rPr>
                <w:rFonts w:hint="eastAsia" w:ascii="宋体" w:hAnsi="宋体" w:eastAsia="宋体" w:cs="宋体"/>
                <w:sz w:val="21"/>
                <w:szCs w:val="21"/>
              </w:rPr>
              <w:t>的中级（或以上）职称的，每提供一名得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val="en-US" w:eastAsia="zh-CN"/>
              </w:rPr>
              <w:t>本子项</w:t>
            </w:r>
            <w:r>
              <w:rPr>
                <w:rFonts w:hint="eastAsia" w:ascii="宋体" w:hAnsi="宋体" w:eastAsia="宋体" w:cs="宋体"/>
                <w:sz w:val="21"/>
                <w:szCs w:val="21"/>
              </w:rPr>
              <w:t>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eastAsia="zh-CN"/>
              </w:rPr>
              <w:t>。</w:t>
            </w:r>
          </w:p>
          <w:p>
            <w:pPr>
              <w:pStyle w:val="7"/>
              <w:numPr>
                <w:ilvl w:val="0"/>
                <w:numId w:val="0"/>
              </w:numPr>
              <w:spacing w:line="240" w:lineRule="auto"/>
              <w:jc w:val="left"/>
              <w:rPr>
                <w:rFonts w:hint="eastAsia" w:ascii="宋体" w:hAnsi="宋体" w:eastAsia="宋体" w:cs="宋体"/>
                <w:sz w:val="21"/>
                <w:szCs w:val="21"/>
              </w:rPr>
            </w:pPr>
            <w:r>
              <w:rPr>
                <w:rFonts w:hint="eastAsia" w:ascii="宋体" w:hAnsi="宋体" w:eastAsia="宋体" w:cs="宋体"/>
                <w:sz w:val="21"/>
                <w:szCs w:val="21"/>
              </w:rPr>
              <w:t>注：本项最高得分</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需提供相关人员的毕业证书、职称证书等相关证明资料扫描件及本项目投标截止当月往前倒推6个月内（提供任意1个月）的人员参保证明，须提供加盖社会保障部门印章的投保单或社会保险参保人员证明，并加盖投标</w:t>
            </w:r>
            <w:r>
              <w:rPr>
                <w:rFonts w:hint="eastAsia" w:ascii="宋体" w:hAnsi="宋体" w:eastAsia="宋体" w:cs="宋体"/>
                <w:sz w:val="21"/>
                <w:szCs w:val="21"/>
                <w:lang w:val="en-US" w:eastAsia="zh-CN"/>
              </w:rPr>
              <w:t>人</w:t>
            </w:r>
            <w:r>
              <w:rPr>
                <w:rFonts w:hint="eastAsia" w:ascii="宋体" w:hAnsi="宋体" w:eastAsia="宋体" w:cs="宋体"/>
                <w:sz w:val="21"/>
                <w:szCs w:val="21"/>
              </w:rPr>
              <w:t>公章，否则不得分。以上两项按人数计分，同一人员不同项可重复计分。</w:t>
            </w:r>
          </w:p>
          <w:p>
            <w:pPr>
              <w:pStyle w:val="7"/>
              <w:numPr>
                <w:ilvl w:val="0"/>
                <w:numId w:val="0"/>
              </w:numPr>
              <w:spacing w:line="240" w:lineRule="auto"/>
              <w:jc w:val="left"/>
              <w:rPr>
                <w:rFonts w:hint="eastAsia" w:ascii="宋体" w:hAnsi="宋体" w:eastAsia="宋体" w:cs="宋体"/>
                <w:sz w:val="21"/>
                <w:szCs w:val="21"/>
              </w:rPr>
            </w:pPr>
            <w:r>
              <w:rPr>
                <w:rFonts w:hint="eastAsia" w:ascii="宋体" w:hAnsi="宋体" w:eastAsia="宋体" w:cs="宋体"/>
                <w:sz w:val="21"/>
                <w:szCs w:val="21"/>
              </w:rPr>
              <w:t>同一人员同时具备学历和职称的，两项可分别计分</w:t>
            </w:r>
            <w:r>
              <w:rPr>
                <w:rFonts w:hint="eastAsia" w:ascii="宋体" w:hAnsi="宋体" w:eastAsia="宋体" w:cs="宋体"/>
                <w:sz w:val="21"/>
                <w:szCs w:val="21"/>
                <w:lang w:eastAsia="zh-CN"/>
              </w:rPr>
              <w:t>。</w:t>
            </w:r>
            <w:r>
              <w:rPr>
                <w:rFonts w:hint="eastAsia" w:ascii="宋体" w:hAnsi="宋体" w:eastAsia="宋体" w:cs="宋体"/>
                <w:sz w:val="21"/>
                <w:szCs w:val="21"/>
              </w:rPr>
              <w:t>同一人员仅按其所获得的最高级别职称计分一次，不重复累计。</w:t>
            </w:r>
            <w:r>
              <w:rPr>
                <w:rFonts w:hint="eastAsia" w:ascii="宋体" w:hAnsi="宋体" w:eastAsia="宋体" w:cs="宋体"/>
                <w:sz w:val="21"/>
                <w:szCs w:val="21"/>
                <w:lang w:val="en-US" w:eastAsia="zh-CN"/>
              </w:rPr>
              <w:t>以上资料不提供或提供不齐全的不得分</w:t>
            </w:r>
            <w:r>
              <w:rPr>
                <w:rFonts w:hint="eastAsia" w:ascii="宋体" w:hAnsi="宋体" w:eastAsia="宋体" w:cs="宋体"/>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spacing w:line="240" w:lineRule="auto"/>
              <w:rPr>
                <w:rFonts w:hint="eastAsia" w:ascii="宋体" w:hAnsi="宋体" w:eastAsia="宋体" w:cs="宋体"/>
                <w:sz w:val="21"/>
                <w:szCs w:val="21"/>
              </w:rPr>
            </w:pPr>
          </w:p>
        </w:tc>
        <w:tc>
          <w:tcPr>
            <w:tcW w:w="2307" w:type="dxa"/>
            <w:noWrap w:val="0"/>
            <w:vAlign w:val="top"/>
          </w:tcPr>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培训师资</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.0分)</w:t>
            </w:r>
          </w:p>
        </w:tc>
        <w:tc>
          <w:tcPr>
            <w:tcW w:w="5076" w:type="dxa"/>
            <w:noWrap w:val="0"/>
            <w:vAlign w:val="top"/>
          </w:tcPr>
          <w:p>
            <w:pPr>
              <w:pStyle w:val="7"/>
              <w:numPr>
                <w:ilvl w:val="0"/>
                <w:numId w:val="0"/>
              </w:num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根据投标人提供的师资团队配置与本项目主要内容的匹配度、真实性，结合本项目采购需求明确的学时要求进行评审。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pStyle w:val="7"/>
              <w:spacing w:line="240" w:lineRule="auto"/>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2307" w:type="dxa"/>
            <w:noWrap w:val="0"/>
            <w:vAlign w:val="top"/>
          </w:tcPr>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rPr>
              <w:t>投标报价得分 (</w:t>
            </w:r>
            <w:r>
              <w:rPr>
                <w:rFonts w:hint="eastAsia" w:ascii="宋体" w:hAnsi="宋体" w:eastAsia="宋体" w:cs="宋体"/>
                <w:sz w:val="21"/>
                <w:szCs w:val="21"/>
                <w:lang w:val="en-US" w:eastAsia="zh-CN"/>
              </w:rPr>
              <w:t>15</w:t>
            </w:r>
            <w:r>
              <w:rPr>
                <w:rFonts w:hint="eastAsia" w:ascii="宋体" w:hAnsi="宋体" w:eastAsia="宋体" w:cs="宋体"/>
                <w:sz w:val="21"/>
                <w:szCs w:val="21"/>
              </w:rPr>
              <w:t>.0分)</w:t>
            </w:r>
          </w:p>
        </w:tc>
        <w:tc>
          <w:tcPr>
            <w:tcW w:w="5076" w:type="dxa"/>
            <w:noWrap w:val="0"/>
            <w:vAlign w:val="top"/>
          </w:tcPr>
          <w:p>
            <w:pPr>
              <w:pStyle w:val="7"/>
              <w:spacing w:line="240" w:lineRule="auto"/>
              <w:jc w:val="left"/>
              <w:rPr>
                <w:rFonts w:hint="eastAsia" w:ascii="宋体" w:hAnsi="宋体" w:eastAsia="宋体" w:cs="宋体"/>
                <w:sz w:val="21"/>
                <w:szCs w:val="21"/>
              </w:rPr>
            </w:pPr>
            <w:r>
              <w:rPr>
                <w:rFonts w:hint="eastAsia" w:ascii="宋体" w:hAnsi="宋体" w:eastAsia="宋体" w:cs="宋体"/>
                <w:sz w:val="21"/>
                <w:szCs w:val="21"/>
              </w:rPr>
              <w:t>投标报价得分＝（评标基准价/投标报价）×价格分值【注：满足招标文件要求且投标价格最低的投标报价为评标基准价。】</w:t>
            </w:r>
          </w:p>
        </w:tc>
      </w:tr>
    </w:tbl>
    <w:p>
      <w:pPr>
        <w:pStyle w:val="6"/>
      </w:pPr>
    </w:p>
    <w:p/>
    <w:sectPr>
      <w:footerReference r:id="rId3" w:type="default"/>
      <w:pgSz w:w="11906" w:h="16838"/>
      <w:pgMar w:top="1440" w:right="1800" w:bottom="1440" w:left="180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ind w:left="0" w:leftChars="0" w:right="0" w:rightChars="0" w:firstLine="0" w:firstLineChars="0"/>
      <w:jc w:val="left"/>
    </w:pPr>
    <w:r>
      <w:rPr>
        <w:rFonts w:hint="eastAsia" w:ascii="仿宋_GB2312" w:hAnsi="仿宋_GB2312" w:eastAsia="仿宋_GB2312"/>
        <w:sz w:val="32"/>
      </w:rPr>
      <w:fldChar w:fldCharType="begin"/>
    </w:r>
    <w:r>
      <w:rPr>
        <w:rStyle w:val="5"/>
        <w:rFonts w:hint="eastAsia" w:ascii="仿宋_GB2312" w:hAnsi="仿宋_GB2312" w:eastAsia="仿宋_GB2312"/>
        <w:sz w:val="32"/>
      </w:rPr>
      <w:instrText xml:space="preserve"> PAGE  </w:instrText>
    </w:r>
    <w:r>
      <w:rPr>
        <w:rFonts w:hint="eastAsia" w:ascii="仿宋_GB2312" w:hAnsi="仿宋_GB2312" w:eastAsia="仿宋_GB2312"/>
        <w:sz w:val="32"/>
      </w:rPr>
      <w:fldChar w:fldCharType="separate"/>
    </w:r>
    <w:r>
      <w:rPr>
        <w:rStyle w:val="5"/>
        <w:rFonts w:hint="eastAsia" w:ascii="仿宋_GB2312" w:hAnsi="仿宋_GB2312" w:eastAsia="仿宋_GB2312"/>
        <w:sz w:val="32"/>
      </w:rPr>
      <w:t>- 1 -</w:t>
    </w:r>
    <w:r>
      <w:rPr>
        <w:rFonts w:hint="eastAsia" w:ascii="仿宋_GB2312" w:hAnsi="仿宋_GB2312" w:eastAsia="仿宋_GB2312"/>
        <w:sz w:val="32"/>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F67FA"/>
    <w:rsid w:val="030F67FA"/>
    <w:rsid w:val="7D7D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2025-10-24T17:44:00Z</dcterms:created>
  <dc:creator>zwyez</dc:creator>
  <cp:lastModifiedBy>李典</cp:lastModifiedBy>
  <dcterms:modified xsi:type="dcterms:W3CDTF">2025-11-03T15:11:42Z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A4F1FB14B3AE4ECB877FF19834C85927</vt:lpwstr>
  </property>
</Properties>
</file>