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16DFA">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华文中宋" w:cs="Times New Roman"/>
          <w:b/>
          <w:bCs/>
          <w:sz w:val="44"/>
          <w:szCs w:val="44"/>
          <w:lang w:bidi="ar"/>
        </w:rPr>
      </w:pPr>
    </w:p>
    <w:p w14:paraId="251FD346">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 w:val="0"/>
          <w:bCs w:val="0"/>
          <w:sz w:val="44"/>
          <w:szCs w:val="44"/>
          <w:lang w:bidi="ar"/>
        </w:rPr>
      </w:pPr>
      <w:r>
        <w:rPr>
          <w:rFonts w:hint="default" w:ascii="Times New Roman" w:hAnsi="Times New Roman" w:eastAsia="方正小标宋_GBK" w:cs="Times New Roman"/>
          <w:b w:val="0"/>
          <w:bCs w:val="0"/>
          <w:sz w:val="44"/>
          <w:szCs w:val="44"/>
          <w:lang w:bidi="ar"/>
        </w:rPr>
        <w:t>202</w:t>
      </w:r>
      <w:r>
        <w:rPr>
          <w:rFonts w:hint="default" w:ascii="Times New Roman" w:hAnsi="Times New Roman" w:eastAsia="方正小标宋_GBK" w:cs="Times New Roman"/>
          <w:b w:val="0"/>
          <w:bCs w:val="0"/>
          <w:sz w:val="44"/>
          <w:szCs w:val="44"/>
          <w:lang w:val="en-US" w:eastAsia="zh-CN" w:bidi="ar"/>
        </w:rPr>
        <w:t>5</w:t>
      </w:r>
      <w:r>
        <w:rPr>
          <w:rFonts w:hint="default" w:ascii="Times New Roman" w:hAnsi="Times New Roman" w:eastAsia="方正小标宋_GBK" w:cs="Times New Roman"/>
          <w:b w:val="0"/>
          <w:bCs w:val="0"/>
          <w:sz w:val="44"/>
          <w:szCs w:val="44"/>
          <w:lang w:bidi="ar"/>
        </w:rPr>
        <w:t>年全国执业兽医资格考试</w:t>
      </w:r>
    </w:p>
    <w:p w14:paraId="440910FB">
      <w:pPr>
        <w:keepNext w:val="0"/>
        <w:keepLines w:val="0"/>
        <w:pageBreakBefore w:val="0"/>
        <w:kinsoku/>
        <w:wordWrap/>
        <w:overflowPunct/>
        <w:topLinePunct w:val="0"/>
        <w:autoSpaceDE w:val="0"/>
        <w:autoSpaceDN/>
        <w:bidi w:val="0"/>
        <w:adjustRightInd/>
        <w:snapToGrid/>
        <w:spacing w:line="600" w:lineRule="exact"/>
        <w:jc w:val="center"/>
        <w:rPr>
          <w:rFonts w:hint="default" w:ascii="Times New Roman" w:hAnsi="Times New Roman" w:eastAsia="方正小标宋_GBK" w:cs="Times New Roman"/>
          <w:b w:val="0"/>
          <w:bCs w:val="0"/>
          <w:sz w:val="44"/>
          <w:szCs w:val="44"/>
          <w:lang w:bidi="ar"/>
        </w:rPr>
      </w:pPr>
      <w:r>
        <w:rPr>
          <w:rFonts w:hint="default" w:ascii="Times New Roman" w:hAnsi="Times New Roman" w:eastAsia="方正小标宋_GBK" w:cs="Times New Roman"/>
          <w:b w:val="0"/>
          <w:bCs w:val="0"/>
          <w:sz w:val="44"/>
          <w:szCs w:val="44"/>
          <w:lang w:bidi="ar"/>
        </w:rPr>
        <w:t>宁夏考区公告</w:t>
      </w:r>
    </w:p>
    <w:p w14:paraId="25B2A9F9">
      <w:pPr>
        <w:keepNext w:val="0"/>
        <w:keepLines w:val="0"/>
        <w:pageBreakBefore w:val="0"/>
        <w:kinsoku/>
        <w:wordWrap/>
        <w:overflowPunct/>
        <w:topLinePunct w:val="0"/>
        <w:autoSpaceDE w:val="0"/>
        <w:autoSpaceDN/>
        <w:bidi w:val="0"/>
        <w:adjustRightInd/>
        <w:snapToGrid/>
        <w:spacing w:line="600" w:lineRule="exact"/>
        <w:ind w:firstLine="640" w:firstLineChars="200"/>
        <w:jc w:val="both"/>
        <w:rPr>
          <w:rFonts w:hint="default" w:ascii="Times New Roman" w:hAnsi="Times New Roman" w:eastAsia="仿宋_GB2312" w:cs="Times New Roman"/>
          <w:sz w:val="32"/>
          <w:szCs w:val="32"/>
          <w:highlight w:val="none"/>
        </w:rPr>
      </w:pPr>
    </w:p>
    <w:p w14:paraId="3389193F">
      <w:pPr>
        <w:keepNext w:val="0"/>
        <w:keepLines w:val="0"/>
        <w:pageBreakBefore w:val="0"/>
        <w:kinsoku/>
        <w:wordWrap/>
        <w:overflowPunct/>
        <w:topLinePunct w:val="0"/>
        <w:autoSpaceDE w:val="0"/>
        <w:autoSpaceDN/>
        <w:bidi w:val="0"/>
        <w:adjustRightInd/>
        <w:snapToGrid/>
        <w:spacing w:line="600" w:lineRule="exact"/>
        <w:ind w:firstLine="640" w:firstLineChars="200"/>
        <w:jc w:val="both"/>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依据《中华人民共和国动物防疫法》《全国执业兽医资格考试委员会公告》（农医考公告第3</w:t>
      </w:r>
      <w:r>
        <w:rPr>
          <w:rFonts w:hint="default" w:ascii="Times New Roman" w:hAnsi="Times New Roman" w:eastAsia="仿宋_GB2312" w:cs="Times New Roman"/>
          <w:sz w:val="32"/>
          <w:szCs w:val="32"/>
          <w:highlight w:val="none"/>
          <w:lang w:val="en-US"/>
        </w:rPr>
        <w:t>5</w:t>
      </w:r>
      <w:r>
        <w:rPr>
          <w:rFonts w:hint="default" w:ascii="Times New Roman" w:hAnsi="Times New Roman" w:eastAsia="仿宋_GB2312" w:cs="Times New Roman"/>
          <w:sz w:val="32"/>
          <w:szCs w:val="32"/>
          <w:highlight w:val="none"/>
        </w:rPr>
        <w:t>号）等有关规定，现就202</w:t>
      </w:r>
      <w:r>
        <w:rPr>
          <w:rFonts w:hint="default" w:ascii="Times New Roman" w:hAnsi="Times New Roman" w:eastAsia="仿宋_GB2312" w:cs="Times New Roman"/>
          <w:sz w:val="32"/>
          <w:szCs w:val="32"/>
          <w:highlight w:val="none"/>
          <w:lang w:val="en-US"/>
        </w:rPr>
        <w:t>5</w:t>
      </w:r>
      <w:r>
        <w:rPr>
          <w:rFonts w:hint="default" w:ascii="Times New Roman" w:hAnsi="Times New Roman" w:eastAsia="仿宋_GB2312" w:cs="Times New Roman"/>
          <w:sz w:val="32"/>
          <w:szCs w:val="32"/>
          <w:highlight w:val="none"/>
        </w:rPr>
        <w:t>年全国执业兽医资格考试宁夏考区有关事项公告如下。</w:t>
      </w:r>
    </w:p>
    <w:p w14:paraId="2E9FFD2D">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 xml:space="preserve">一、考试类别  </w:t>
      </w:r>
    </w:p>
    <w:p w14:paraId="7611ACB7">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兽医全科类、水生动物类。</w:t>
      </w:r>
    </w:p>
    <w:p w14:paraId="1CC7145C">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二、报考条件</w:t>
      </w:r>
    </w:p>
    <w:p w14:paraId="27B4F7CE">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（一）具有大学专科以上学历的人员或全日制高校在校生，专业符合兽医全科类报考专业目录（附件1）的，可以报名参加兽医全科类考试。</w:t>
      </w:r>
    </w:p>
    <w:p w14:paraId="7EEC60CE">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（二）具有大学专科以上学历的人员或全日制高校在校生，专业符合水生动物类报考专业目录（附件2）的，可以报名参加水生动物类考试。</w:t>
      </w:r>
    </w:p>
    <w:p w14:paraId="6F0E0C66">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（三）在2009年1月1日前具有兽医师以上专业技术职称的人员，可以报名参加兽医全科类考试。</w:t>
      </w:r>
    </w:p>
    <w:p w14:paraId="5B9F7BA1">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（四）依法备案或登记时间在2015年前（含2015年），且从事动物诊疗活动十年以上的乡村兽医，可以报名参加兽医全科类或水生动物类考试。</w:t>
      </w:r>
    </w:p>
    <w:p w14:paraId="360A8BE7">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三、报考方式与时间</w:t>
      </w:r>
    </w:p>
    <w:p w14:paraId="09B8A03D">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全国执业兽医资格考试分为基础、预防、临床和综合应用4门科目，报考人员可以选择报考全部4门科目，也可以选择报考部分科目。</w:t>
      </w:r>
    </w:p>
    <w:p w14:paraId="64246DD7">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考采取网上报名、网上确认方式。报考人员应使用计算机登录“中国兽医网（www.cadc.net.cn）—执业兽医专栏—全国执业兽医资格考试”进行网上报名、网上确认、考试缴费、准考证打印、成绩查询等考试相关操作。</w:t>
      </w:r>
    </w:p>
    <w:p w14:paraId="3EB463AB">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楷体" w:cs="Times New Roman"/>
          <w:sz w:val="32"/>
          <w:szCs w:val="32"/>
        </w:rPr>
      </w:pPr>
      <w:r>
        <w:rPr>
          <w:rFonts w:hint="default" w:ascii="Times New Roman" w:hAnsi="Times New Roman" w:eastAsia="楷体" w:cs="Times New Roman"/>
          <w:b/>
          <w:bCs/>
          <w:kern w:val="0"/>
          <w:sz w:val="32"/>
          <w:szCs w:val="32"/>
          <w:lang w:bidi="ar"/>
        </w:rPr>
        <w:t>（一）网上报名</w:t>
      </w:r>
    </w:p>
    <w:p w14:paraId="7BDC190D">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网上报名时间为2025年1月13—24日。报考人员应认真阅读《2025年全国执业兽医资格考试考生指导手册》，获取详细操作流程。报考人员应如实准确填报报名信息，确认所学专业符合报考要求，并对信息真实性作出承诺。逾期未报名、确认的人员，视为自愿放弃报考资格。</w:t>
      </w:r>
    </w:p>
    <w:p w14:paraId="3789FC48">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1.凭学历报考的人员</w:t>
      </w:r>
    </w:p>
    <w:p w14:paraId="33324F0F">
      <w:pPr>
        <w:keepNext w:val="0"/>
        <w:keepLines w:val="0"/>
        <w:pageBreakBefore w:val="0"/>
        <w:widowControl/>
        <w:kinsoku/>
        <w:wordWrap/>
        <w:overflowPunct/>
        <w:topLinePunct w:val="0"/>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报考人员应在报名前自行登录中国高等教育学生信息网（以下简称“学信网”），查询本人学历信息。</w:t>
      </w:r>
    </w:p>
    <w:p w14:paraId="281A14E8">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1）学历信息可在学信网查询到的人员，报名时学历信息仅需填写毕业证书（毕业证明书）编号。若学信网信息与本人毕业证书（毕业证明书）不符，应在报名截止前自行联系毕业院校学籍学历管理部门及时进行更正。</w:t>
      </w:r>
    </w:p>
    <w:p w14:paraId="7308C13A">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2）学历信息在学信网无法查询的人员，报名时应填选与毕业证书（毕业证明书）一致的相关信息，上传有效身份证件原件电子照片。同时，还应上传通过学信网学历认证取得的《中国高等教育学历认证报告》，上传的认证报告应为原件的电子照片或电子版认证报告。</w:t>
      </w:r>
    </w:p>
    <w:p w14:paraId="23B7C7D6">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（3）取得国（境）外学历的，报名时填写毕业院校信息，并上传教育部留学服务中心出具的学历学位认证书，上传的认证书应为原件的电子照片或电子版认证书。</w:t>
      </w:r>
    </w:p>
    <w:p w14:paraId="7438837D">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2.全日制高校在校生</w:t>
      </w:r>
    </w:p>
    <w:p w14:paraId="744A0E2C">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考人员应使用计算机登录学信网“学信档案”栏目，下载本人《教育部学籍在线验证报告》PDF文件，上传至考试报名系统。计算机截屏图片、手机拍照图片、手机截屏图片、图片转PDF等文件格式不予认可。通过学信网以外渠道获取的学籍报告或证明不予认可。</w:t>
      </w:r>
    </w:p>
    <w:p w14:paraId="075E9FE9">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在校本科生（研究生），如已具有符合报考专业的专科或本科学历，应优先选择“凭学历报考”。</w:t>
      </w:r>
    </w:p>
    <w:p w14:paraId="4F7EF089">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3.凭职称报考的人员</w:t>
      </w:r>
    </w:p>
    <w:p w14:paraId="2EC58931">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报考人员填报信息时须选择与职称证书一致的专业技术职称层级及职称取得时间，并同时上传职称证书全部内页原件的电子照片。</w:t>
      </w:r>
    </w:p>
    <w:p w14:paraId="22D34092">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4.乡村兽医</w:t>
      </w:r>
    </w:p>
    <w:p w14:paraId="0348AB1F">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名时系统将根据有效身份证件号码，核对报考人员在全国兽医队伍信息管理系统中是否备案或登记、备案或登记年限是否符合报考要求。如系统查询结果为未备案或登记、备案或登记年限不符合报考要求，视为报名不通过。</w:t>
      </w:r>
    </w:p>
    <w:p w14:paraId="6C2E259B">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楷体" w:cs="Times New Roman"/>
          <w:b/>
          <w:bCs/>
          <w:kern w:val="0"/>
          <w:sz w:val="32"/>
          <w:szCs w:val="32"/>
          <w:lang w:bidi="ar"/>
        </w:rPr>
      </w:pPr>
      <w:r>
        <w:rPr>
          <w:rFonts w:hint="default" w:ascii="Times New Roman" w:hAnsi="Times New Roman" w:eastAsia="楷体" w:cs="Times New Roman"/>
          <w:b/>
          <w:bCs/>
          <w:kern w:val="0"/>
          <w:sz w:val="32"/>
          <w:szCs w:val="32"/>
          <w:lang w:bidi="ar"/>
        </w:rPr>
        <w:t>（二）网上确认</w:t>
      </w:r>
    </w:p>
    <w:p w14:paraId="1F2B4B12">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报考人员</w:t>
      </w:r>
      <w:r>
        <w:rPr>
          <w:rFonts w:hint="default" w:ascii="Times New Roman" w:hAnsi="Times New Roman" w:eastAsia="仿宋_GB2312" w:cs="Times New Roman"/>
          <w:color w:val="000000" w:themeColor="text1"/>
          <w:sz w:val="32"/>
          <w:szCs w:val="32"/>
          <w:lang w:bidi="ar"/>
          <w14:textFill>
            <w14:solidFill>
              <w14:schemeClr w14:val="tx1"/>
            </w14:solidFill>
          </w14:textFill>
        </w:rPr>
        <w:t>可于3月24日后查询网上预审结果。预审未通过人员可于3月24—27日按提</w:t>
      </w:r>
      <w:r>
        <w:rPr>
          <w:rFonts w:hint="default" w:ascii="Times New Roman" w:hAnsi="Times New Roman" w:eastAsia="仿宋_GB2312" w:cs="Times New Roman"/>
          <w:sz w:val="32"/>
          <w:szCs w:val="32"/>
          <w:lang w:bidi="ar"/>
        </w:rPr>
        <w:t>示要求重新上传相关证明材料。</w:t>
      </w:r>
    </w:p>
    <w:p w14:paraId="6CEEC750">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四、考试缴费</w:t>
      </w:r>
    </w:p>
    <w:p w14:paraId="28C7CC9F">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报考人员可于4月21日后查询审核结果，审核通过的人员可进行考试缴费。</w:t>
      </w:r>
    </w:p>
    <w:p w14:paraId="413E01A7">
      <w:pPr>
        <w:keepNext w:val="0"/>
        <w:keepLines w:val="0"/>
        <w:pageBreakBefore w:val="0"/>
        <w:kinsoku/>
        <w:wordWrap/>
        <w:overflowPunct/>
        <w:topLinePunct w:val="0"/>
        <w:autoSpaceDE w:val="0"/>
        <w:autoSpaceDN/>
        <w:bidi w:val="0"/>
        <w:adjustRightInd/>
        <w:snapToGrid/>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（一）考试收费标准</w:t>
      </w:r>
    </w:p>
    <w:p w14:paraId="1649ACF5">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根据《自治区发展改革委关于发布2024年宁夏回族自治区行政事业性收费标准目录的通知》（宁发改价格</w:t>
      </w:r>
      <w:r>
        <w:rPr>
          <w:rFonts w:hint="eastAsia" w:eastAsia="微软雅黑" w:cs="Times New Roman"/>
          <w:sz w:val="32"/>
          <w:szCs w:val="32"/>
          <w:highlight w:val="none"/>
          <w:lang w:val="en-US" w:eastAsia="zh-CN"/>
        </w:rPr>
        <w:t>&lt;</w:t>
      </w:r>
      <w:r>
        <w:rPr>
          <w:rFonts w:hint="default" w:ascii="Times New Roman" w:hAnsi="Times New Roman" w:eastAsia="仿宋_GB2312" w:cs="Times New Roman"/>
          <w:sz w:val="32"/>
          <w:szCs w:val="32"/>
          <w:highlight w:val="none"/>
        </w:rPr>
        <w:t>调控</w:t>
      </w:r>
      <w:r>
        <w:rPr>
          <w:rFonts w:hint="eastAsia" w:eastAsia="仿宋_GB2312" w:cs="Times New Roman"/>
          <w:sz w:val="32"/>
          <w:szCs w:val="32"/>
          <w:highlight w:val="none"/>
          <w:lang w:val="en-US" w:eastAsia="zh-CN"/>
        </w:rPr>
        <w:t>&gt;</w:t>
      </w:r>
      <w:r>
        <w:rPr>
          <w:rFonts w:hint="default" w:ascii="Times New Roman" w:hAnsi="Times New Roman" w:eastAsia="仿宋_GB2312" w:cs="Times New Roman"/>
          <w:sz w:val="32"/>
          <w:szCs w:val="32"/>
          <w:highlight w:val="none"/>
        </w:rPr>
        <w:t>〔2024〕6号），兽医全科类综合知识考试每人每科51元；兽医水生动物类综合知识考试每人每科60元。考生缴费成功，不予退还，逾期未缴费的，视为自愿放弃报考资格。</w:t>
      </w:r>
    </w:p>
    <w:p w14:paraId="7E323746">
      <w:pPr>
        <w:keepNext w:val="0"/>
        <w:keepLines w:val="0"/>
        <w:pageBreakBefore w:val="0"/>
        <w:kinsoku/>
        <w:wordWrap/>
        <w:overflowPunct/>
        <w:topLinePunct w:val="0"/>
        <w:autoSpaceDE w:val="0"/>
        <w:autoSpaceDN/>
        <w:bidi w:val="0"/>
        <w:adjustRightInd/>
        <w:snapToGrid/>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（二）缴费时间</w:t>
      </w:r>
    </w:p>
    <w:p w14:paraId="06627A9E">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rPr>
      </w:pPr>
      <w:bookmarkStart w:id="0" w:name="_GoBack"/>
      <w:bookmarkEnd w:id="0"/>
      <w:r>
        <w:rPr>
          <w:rFonts w:hint="default" w:ascii="Times New Roman" w:hAnsi="Times New Roman" w:eastAsia="仿宋_GB2312" w:cs="Times New Roman"/>
          <w:sz w:val="32"/>
          <w:szCs w:val="32"/>
          <w:highlight w:val="none"/>
        </w:rPr>
        <w:t>4月21—24日。</w:t>
      </w:r>
    </w:p>
    <w:p w14:paraId="0283BA01">
      <w:pPr>
        <w:keepNext w:val="0"/>
        <w:keepLines w:val="0"/>
        <w:pageBreakBefore w:val="0"/>
        <w:kinsoku/>
        <w:wordWrap/>
        <w:overflowPunct/>
        <w:topLinePunct w:val="0"/>
        <w:autoSpaceDE w:val="0"/>
        <w:autoSpaceDN/>
        <w:bidi w:val="0"/>
        <w:adjustRightInd/>
        <w:snapToGrid/>
        <w:spacing w:line="600" w:lineRule="exact"/>
        <w:ind w:firstLine="643" w:firstLineChars="200"/>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（三）缴费方式</w:t>
      </w:r>
    </w:p>
    <w:p w14:paraId="69674EE3">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考生登录中国兽医（www.cadc.net.cn）进入“执业兽医专栏”，根据系统提示在线缴费。</w:t>
      </w:r>
    </w:p>
    <w:p w14:paraId="278976CA">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五、准考证打印</w:t>
      </w:r>
    </w:p>
    <w:p w14:paraId="3D3553F7">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报考人员可于7月7—13日自行打印准考证。</w:t>
      </w:r>
    </w:p>
    <w:p w14:paraId="4DB6A418">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 xml:space="preserve">六、考试时间与方式 </w:t>
      </w:r>
    </w:p>
    <w:p w14:paraId="2314569E">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lang w:bidi="ar"/>
        </w:rPr>
      </w:pPr>
      <w:r>
        <w:rPr>
          <w:rFonts w:hint="default" w:ascii="Times New Roman" w:hAnsi="Times New Roman" w:eastAsia="仿宋_GB2312" w:cs="Times New Roman"/>
          <w:sz w:val="32"/>
          <w:szCs w:val="32"/>
          <w:lang w:bidi="ar"/>
        </w:rPr>
        <w:t>考试时间为7月13日。</w:t>
      </w:r>
    </w:p>
    <w:p w14:paraId="6B5ED520">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考试地点为宁夏回族自治区银川市，具体地址以准考证为准。</w:t>
      </w:r>
    </w:p>
    <w:p w14:paraId="37FA7CED">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具体安排为：</w:t>
      </w:r>
    </w:p>
    <w:p w14:paraId="705F363E">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基础科目：上午8:30—9:30；</w:t>
      </w:r>
    </w:p>
    <w:p w14:paraId="469845ED">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预防科目：上午11:00—12:00；</w:t>
      </w:r>
    </w:p>
    <w:p w14:paraId="06B469F8">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临床科目：下午2:00—3:00；</w:t>
      </w:r>
    </w:p>
    <w:p w14:paraId="139C0AF7">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综合应用科目：下午4:30—5:30。</w:t>
      </w:r>
    </w:p>
    <w:p w14:paraId="08D2F6F8">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考试方式为闭卷、计算机考试。试题、答题要求和答题界面均在计算机显示屏上显示，考生应当使用计算机鼠标在计算机答题界面上直接作答。1月13日后，全国执业兽医资格考试网上信息平台将发布计算机考试操作软件和演示视频，考生可提前了解熟悉计算机考试答题界面、作答方式等。</w:t>
      </w:r>
    </w:p>
    <w:p w14:paraId="09E12435">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七、考试内容</w:t>
      </w:r>
    </w:p>
    <w:p w14:paraId="76D6DA22">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考试范围以《全国执业兽医资格考试大纲（兽医全科类）（2025版）》《全国执业兽医资格考试大纲（水生动物类）（2025版）》为准。</w:t>
      </w:r>
    </w:p>
    <w:p w14:paraId="5422A03F">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每门科目100道题，每道题1分。</w:t>
      </w:r>
    </w:p>
    <w:p w14:paraId="1DAAD1D2">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楷体" w:cs="Times New Roman"/>
          <w:b/>
          <w:bCs/>
          <w:kern w:val="0"/>
          <w:sz w:val="32"/>
          <w:szCs w:val="32"/>
          <w:lang w:bidi="ar"/>
        </w:rPr>
      </w:pPr>
      <w:r>
        <w:rPr>
          <w:rFonts w:hint="default" w:ascii="Times New Roman" w:hAnsi="Times New Roman" w:eastAsia="楷体" w:cs="Times New Roman"/>
          <w:b/>
          <w:bCs/>
          <w:kern w:val="0"/>
          <w:sz w:val="32"/>
          <w:szCs w:val="32"/>
          <w:lang w:bidi="ar"/>
        </w:rPr>
        <w:t>（一）兽医全科类考试</w:t>
      </w:r>
    </w:p>
    <w:p w14:paraId="3D68AA91">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基础科目。</w:t>
      </w:r>
      <w:r>
        <w:rPr>
          <w:rFonts w:hint="default" w:ascii="Times New Roman" w:hAnsi="Times New Roman" w:eastAsia="仿宋_GB2312" w:cs="Times New Roman"/>
          <w:sz w:val="32"/>
          <w:szCs w:val="32"/>
          <w:lang w:bidi="ar"/>
        </w:rPr>
        <w:t>包括兽医法律法规和职业道德，动物解剖学</w:t>
      </w:r>
      <w:r>
        <w:rPr>
          <w:rFonts w:hint="default" w:ascii="Times New Roman" w:hAnsi="Times New Roman" w:eastAsia="仿宋_GB2312" w:cs="Times New Roman"/>
          <w:sz w:val="32"/>
          <w:szCs w:val="32"/>
          <w:lang w:eastAsia="zh-CN" w:bidi="ar"/>
        </w:rPr>
        <w:t>、</w:t>
      </w:r>
      <w:r>
        <w:rPr>
          <w:rFonts w:hint="default" w:ascii="Times New Roman" w:hAnsi="Times New Roman" w:eastAsia="仿宋_GB2312" w:cs="Times New Roman"/>
          <w:sz w:val="32"/>
          <w:szCs w:val="32"/>
          <w:lang w:bidi="ar"/>
        </w:rPr>
        <w:t>组织学与胚胎学，动物生理学，动物生物化学，动物病理学，兽医药理学。</w:t>
      </w:r>
    </w:p>
    <w:p w14:paraId="34F3E2F9">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预防科目。</w:t>
      </w:r>
      <w:r>
        <w:rPr>
          <w:rFonts w:hint="default" w:ascii="Times New Roman" w:hAnsi="Times New Roman" w:eastAsia="仿宋_GB2312" w:cs="Times New Roman"/>
          <w:sz w:val="32"/>
          <w:szCs w:val="32"/>
          <w:lang w:bidi="ar"/>
        </w:rPr>
        <w:t>包括兽医微生物学与免疫学，兽医传染病学，兽医寄生虫学，兽医公共卫生学。</w:t>
      </w:r>
    </w:p>
    <w:p w14:paraId="710FB3D9">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临床科目。</w:t>
      </w:r>
      <w:r>
        <w:rPr>
          <w:rFonts w:hint="default" w:ascii="Times New Roman" w:hAnsi="Times New Roman" w:eastAsia="仿宋_GB2312" w:cs="Times New Roman"/>
          <w:sz w:val="32"/>
          <w:szCs w:val="32"/>
          <w:lang w:bidi="ar"/>
        </w:rPr>
        <w:t>包括兽医临床诊断学，兽医内科学，兽医外科与手术学，兽医产科学，中兽医学。</w:t>
      </w:r>
    </w:p>
    <w:p w14:paraId="1A5D82B2">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综合应用科目。</w:t>
      </w:r>
      <w:r>
        <w:rPr>
          <w:rFonts w:hint="default" w:ascii="Times New Roman" w:hAnsi="Times New Roman" w:eastAsia="仿宋_GB2312" w:cs="Times New Roman"/>
          <w:sz w:val="32"/>
          <w:szCs w:val="32"/>
          <w:lang w:bidi="ar"/>
        </w:rPr>
        <w:t>包括猪、禽、牛、羊、犬、猫以及其他动物疾病的临床诊断和治疗。</w:t>
      </w:r>
    </w:p>
    <w:p w14:paraId="6201E2A7">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楷体" w:cs="Times New Roman"/>
          <w:b/>
          <w:bCs/>
          <w:kern w:val="0"/>
          <w:sz w:val="32"/>
          <w:szCs w:val="32"/>
          <w:lang w:bidi="ar"/>
        </w:rPr>
      </w:pPr>
      <w:r>
        <w:rPr>
          <w:rFonts w:hint="default" w:ascii="Times New Roman" w:hAnsi="Times New Roman" w:eastAsia="楷体" w:cs="Times New Roman"/>
          <w:b/>
          <w:bCs/>
          <w:kern w:val="0"/>
          <w:sz w:val="32"/>
          <w:szCs w:val="32"/>
          <w:lang w:bidi="ar"/>
        </w:rPr>
        <w:t>（二）水生动物类考试</w:t>
      </w:r>
    </w:p>
    <w:p w14:paraId="7B5D582C">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基础科目。</w:t>
      </w:r>
      <w:r>
        <w:rPr>
          <w:rFonts w:hint="default" w:ascii="Times New Roman" w:hAnsi="Times New Roman" w:eastAsia="仿宋_GB2312" w:cs="Times New Roman"/>
          <w:sz w:val="32"/>
          <w:szCs w:val="32"/>
          <w:lang w:bidi="ar"/>
        </w:rPr>
        <w:t>包括兽医法律法规和职业道德，水生动物解剖学、组织学及胚胎学，水生动物生理学，动物生物化学，鱼类药理学。</w:t>
      </w:r>
    </w:p>
    <w:p w14:paraId="68D6E277">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预防科目。</w:t>
      </w:r>
      <w:r>
        <w:rPr>
          <w:rFonts w:hint="default" w:ascii="Times New Roman" w:hAnsi="Times New Roman" w:eastAsia="仿宋_GB2312" w:cs="Times New Roman"/>
          <w:sz w:val="32"/>
          <w:szCs w:val="32"/>
          <w:lang w:bidi="ar"/>
        </w:rPr>
        <w:t>包括水生动物免疫学，水生动物微生物学，水生动物寄生虫学，水产公共卫生学。</w:t>
      </w:r>
    </w:p>
    <w:p w14:paraId="6100BD1D">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临床科目。</w:t>
      </w:r>
      <w:r>
        <w:rPr>
          <w:rFonts w:hint="default" w:ascii="Times New Roman" w:hAnsi="Times New Roman" w:eastAsia="仿宋_GB2312" w:cs="Times New Roman"/>
          <w:sz w:val="32"/>
          <w:szCs w:val="32"/>
          <w:lang w:bidi="ar"/>
        </w:rPr>
        <w:t>包括水产药物学，水生动物病理学，水生动物疾病学。</w:t>
      </w:r>
    </w:p>
    <w:p w14:paraId="0F1E3C33">
      <w:pPr>
        <w:keepNext w:val="0"/>
        <w:keepLines w:val="0"/>
        <w:pageBreakBefore w:val="0"/>
        <w:widowControl/>
        <w:kinsoku/>
        <w:wordWrap/>
        <w:overflowPunct/>
        <w:topLinePunct w:val="0"/>
        <w:autoSpaceDN/>
        <w:bidi w:val="0"/>
        <w:adjustRightInd/>
        <w:snapToGrid/>
        <w:spacing w:line="600" w:lineRule="exact"/>
        <w:ind w:firstLine="643"/>
        <w:rPr>
          <w:rFonts w:hint="default" w:ascii="Times New Roman" w:hAnsi="Times New Roman" w:eastAsia="仿宋_GB2312" w:cs="Times New Roman"/>
          <w:sz w:val="32"/>
          <w:szCs w:val="32"/>
        </w:rPr>
      </w:pPr>
      <w:r>
        <w:rPr>
          <w:rFonts w:hint="default" w:ascii="Times New Roman" w:hAnsi="Times New Roman" w:eastAsia="仿宋_GB2312" w:cs="Times New Roman"/>
          <w:b/>
          <w:bCs/>
          <w:kern w:val="0"/>
          <w:sz w:val="32"/>
          <w:szCs w:val="32"/>
          <w:lang w:bidi="ar"/>
        </w:rPr>
        <w:t>综合应用科目。</w:t>
      </w:r>
      <w:r>
        <w:rPr>
          <w:rFonts w:hint="default" w:ascii="Times New Roman" w:hAnsi="Times New Roman" w:eastAsia="仿宋_GB2312" w:cs="Times New Roman"/>
          <w:sz w:val="32"/>
          <w:szCs w:val="32"/>
          <w:lang w:bidi="ar"/>
        </w:rPr>
        <w:t>包括饲料与营养学，养殖水环境生态学，水产养殖学。</w:t>
      </w:r>
    </w:p>
    <w:p w14:paraId="3CAA46B3">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lang w:bidi="ar"/>
        </w:rPr>
        <w:t>八、考试合格成绩认定</w:t>
      </w:r>
    </w:p>
    <w:p w14:paraId="5622925B">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报考部分科目的，60分为单科合格分数线，单科合格成绩3年内有效。3个连续年度内全部科目成绩合格的，视为考试通过。</w:t>
      </w:r>
    </w:p>
    <w:p w14:paraId="06A46207">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一次性报考全部4门科目的，考试合格总分数线由全国执业兽医资格考试委员会在考试结束后公布。如4门科目总分未达到考试合格总分数线，但单门科目达到60分的，视为单科成绩合格。单科合格成绩予以保留，3年内有效。</w:t>
      </w:r>
    </w:p>
    <w:p w14:paraId="2F94398A">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lang w:bidi="ar"/>
        </w:rPr>
        <w:t>九、资格申请和授予</w:t>
      </w:r>
    </w:p>
    <w:p w14:paraId="08E2D188">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在宁夏考区参加</w:t>
      </w:r>
      <w:r>
        <w:rPr>
          <w:rFonts w:hint="default" w:ascii="Times New Roman" w:hAnsi="Times New Roman" w:eastAsia="仿宋_GB2312" w:cs="Times New Roman"/>
          <w:sz w:val="32"/>
          <w:szCs w:val="32"/>
        </w:rPr>
        <w:t>全国执业兽医资格考试通过的人员，</w:t>
      </w:r>
      <w:r>
        <w:rPr>
          <w:rFonts w:hint="default" w:ascii="Times New Roman" w:hAnsi="Times New Roman" w:eastAsia="仿宋_GB2312" w:cs="Times New Roman"/>
          <w:sz w:val="32"/>
          <w:szCs w:val="32"/>
        </w:rPr>
        <w:t>应按照202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年宁夏考区执业兽医资格授予申请公告要求，在规定时间内提出执业兽医资格授予申请。经审核合格的，由宁夏回族自治区农业农村厅颁发执业兽医资格证书。</w:t>
      </w:r>
    </w:p>
    <w:p w14:paraId="63F89861">
      <w:pPr>
        <w:keepNext w:val="0"/>
        <w:keepLines w:val="0"/>
        <w:pageBreakBefore w:val="0"/>
        <w:kinsoku/>
        <w:wordWrap/>
        <w:overflowPunct/>
        <w:topLinePunct w:val="0"/>
        <w:autoSpaceDE w:val="0"/>
        <w:autoSpaceDN/>
        <w:bidi w:val="0"/>
        <w:adjustRightInd/>
        <w:snapToGrid/>
        <w:spacing w:line="600" w:lineRule="exact"/>
        <w:ind w:firstLine="640" w:firstLineChars="200"/>
        <w:rPr>
          <w:rFonts w:hint="default" w:ascii="Times New Roman" w:hAnsi="Times New Roman" w:cs="Times New Roman"/>
          <w:highlight w:val="yellow"/>
        </w:rPr>
      </w:pPr>
      <w:r>
        <w:rPr>
          <w:rFonts w:hint="default" w:ascii="Times New Roman" w:hAnsi="Times New Roman" w:eastAsia="仿宋_GB2312" w:cs="Times New Roman"/>
          <w:sz w:val="32"/>
          <w:szCs w:val="32"/>
        </w:rPr>
        <w:t>考试通过的全日制高校在校生，应取得兽医相关专业大学专科以上学历（学信网可查询到），并经审核通过后，方可申请执业兽医资格。</w:t>
      </w:r>
    </w:p>
    <w:p w14:paraId="0B42DB87">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黑体" w:cs="Times New Roman"/>
          <w:sz w:val="32"/>
          <w:szCs w:val="32"/>
          <w:lang w:bidi="ar"/>
        </w:rPr>
      </w:pPr>
      <w:r>
        <w:rPr>
          <w:rFonts w:hint="default" w:ascii="Times New Roman" w:hAnsi="Times New Roman" w:eastAsia="黑体" w:cs="Times New Roman"/>
          <w:sz w:val="32"/>
          <w:szCs w:val="32"/>
        </w:rPr>
        <w:t>十、</w:t>
      </w:r>
      <w:r>
        <w:rPr>
          <w:rFonts w:hint="default" w:ascii="Times New Roman" w:hAnsi="Times New Roman" w:eastAsia="黑体" w:cs="Times New Roman"/>
          <w:sz w:val="32"/>
          <w:szCs w:val="32"/>
          <w:lang w:bidi="ar"/>
        </w:rPr>
        <w:t>其他事项</w:t>
      </w:r>
    </w:p>
    <w:p w14:paraId="249F48B6">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（一）考试成绩达到执业兽医师资格合格标准的人员不可重复报考。</w:t>
      </w:r>
    </w:p>
    <w:p w14:paraId="1D745858">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
        </w:rPr>
        <w:t>（二）港澳台居民参加全国执业兽医资格考试的有关事宜参照本公告执行。</w:t>
      </w:r>
    </w:p>
    <w:p w14:paraId="7C2453EC">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cs="Times New Roman"/>
        </w:rPr>
      </w:pPr>
      <w:r>
        <w:rPr>
          <w:rFonts w:hint="default" w:ascii="Times New Roman" w:hAnsi="Times New Roman" w:eastAsia="仿宋_GB2312" w:cs="Times New Roman"/>
          <w:sz w:val="32"/>
          <w:szCs w:val="32"/>
          <w:lang w:bidi="ar"/>
        </w:rPr>
        <w:t>（三）</w:t>
      </w:r>
      <w:r>
        <w:rPr>
          <w:rFonts w:hint="default" w:ascii="Times New Roman" w:hAnsi="Times New Roman" w:eastAsia="仿宋_GB2312" w:cs="Times New Roman"/>
          <w:sz w:val="32"/>
          <w:szCs w:val="32"/>
          <w:lang w:bidi="ar"/>
        </w:rPr>
        <w:t>考生可依据考试大纲进行复习、备考</w:t>
      </w:r>
      <w:r>
        <w:rPr>
          <w:rFonts w:hint="default" w:ascii="Times New Roman" w:hAnsi="Times New Roman" w:eastAsia="仿宋_GB2312" w:cs="Times New Roman"/>
          <w:sz w:val="32"/>
          <w:szCs w:val="32"/>
          <w:highlight w:val="none"/>
          <w:lang w:bidi="ar"/>
        </w:rPr>
        <w:t>。农业农村部</w:t>
      </w:r>
      <w:r>
        <w:rPr>
          <w:rFonts w:hint="default" w:ascii="Times New Roman" w:hAnsi="Times New Roman" w:eastAsia="仿宋_GB2312" w:cs="Times New Roman"/>
          <w:sz w:val="32"/>
          <w:szCs w:val="32"/>
          <w:highlight w:val="none"/>
          <w:lang w:bidi="ar"/>
        </w:rPr>
        <w:t>、自治区农业农村厅</w:t>
      </w:r>
      <w:r>
        <w:rPr>
          <w:rFonts w:hint="default" w:ascii="Times New Roman" w:hAnsi="Times New Roman" w:eastAsia="仿宋_GB2312" w:cs="Times New Roman"/>
          <w:sz w:val="32"/>
          <w:szCs w:val="32"/>
          <w:highlight w:val="none"/>
          <w:lang w:bidi="ar"/>
        </w:rPr>
        <w:t>不举办考前培训班，也不委托任何单位开展考前</w:t>
      </w:r>
      <w:r>
        <w:rPr>
          <w:rFonts w:hint="default" w:ascii="Times New Roman" w:hAnsi="Times New Roman" w:eastAsia="仿宋_GB2312" w:cs="Times New Roman"/>
          <w:sz w:val="32"/>
          <w:szCs w:val="32"/>
          <w:lang w:bidi="ar"/>
        </w:rPr>
        <w:t>培训辅导。</w:t>
      </w:r>
    </w:p>
    <w:p w14:paraId="01E34355">
      <w:pPr>
        <w:keepNext w:val="0"/>
        <w:keepLines w:val="0"/>
        <w:pageBreakBefore w:val="0"/>
        <w:widowControl/>
        <w:kinsoku/>
        <w:wordWrap/>
        <w:overflowPunct/>
        <w:topLinePunct w:val="0"/>
        <w:autoSpaceDN/>
        <w:bidi w:val="0"/>
        <w:adjustRightInd/>
        <w:snapToGrid/>
        <w:spacing w:line="600" w:lineRule="exact"/>
        <w:ind w:left="640"/>
        <w:rPr>
          <w:rFonts w:hint="default" w:ascii="Times New Roman" w:hAnsi="Times New Roman" w:cs="Times New Roman"/>
        </w:rPr>
      </w:pPr>
    </w:p>
    <w:p w14:paraId="654DE90E">
      <w:pPr>
        <w:keepNext w:val="0"/>
        <w:keepLines w:val="0"/>
        <w:pageBreakBefore w:val="0"/>
        <w:widowControl/>
        <w:kinsoku/>
        <w:wordWrap/>
        <w:overflowPunct/>
        <w:topLinePunct w:val="0"/>
        <w:autoSpaceDN/>
        <w:bidi w:val="0"/>
        <w:adjustRightInd/>
        <w:snapToGrid/>
        <w:spacing w:line="600" w:lineRule="exact"/>
        <w:ind w:firstLine="640"/>
        <w:rPr>
          <w:rFonts w:hint="default" w:ascii="Times New Roman" w:hAnsi="Times New Roman" w:cs="Times New Roman"/>
        </w:rPr>
      </w:pPr>
      <w:r>
        <w:rPr>
          <w:rFonts w:hint="default" w:ascii="Times New Roman" w:hAnsi="Times New Roman" w:eastAsia="仿宋_GB2312" w:cs="Times New Roman"/>
          <w:sz w:val="32"/>
          <w:szCs w:val="32"/>
          <w:lang w:bidi="ar"/>
        </w:rPr>
        <w:t>附件：</w:t>
      </w:r>
      <w:r>
        <w:rPr>
          <w:rFonts w:hint="default" w:ascii="Times New Roman" w:hAnsi="Times New Roman" w:eastAsia="仿宋_GB2312" w:cs="Times New Roman"/>
          <w:sz w:val="32"/>
          <w:szCs w:val="32"/>
          <w:lang w:bidi="ar"/>
        </w:rPr>
        <w:t>1.</w:t>
      </w:r>
      <w:r>
        <w:rPr>
          <w:rFonts w:hint="default" w:ascii="Times New Roman" w:hAnsi="Times New Roman" w:eastAsia="仿宋_GB2312" w:cs="Times New Roman"/>
          <w:sz w:val="32"/>
          <w:szCs w:val="32"/>
          <w:lang w:bidi="ar"/>
        </w:rPr>
        <w:t>兽医全科类考试报考专业目录</w:t>
      </w:r>
    </w:p>
    <w:p w14:paraId="25699847">
      <w:pPr>
        <w:keepNext w:val="0"/>
        <w:keepLines w:val="0"/>
        <w:pageBreakBefore w:val="0"/>
        <w:widowControl/>
        <w:kinsoku/>
        <w:wordWrap/>
        <w:overflowPunct/>
        <w:topLinePunct w:val="0"/>
        <w:autoSpaceDN/>
        <w:bidi w:val="0"/>
        <w:adjustRightInd/>
        <w:snapToGrid/>
        <w:spacing w:line="600" w:lineRule="exact"/>
        <w:ind w:firstLine="1600"/>
        <w:rPr>
          <w:rFonts w:hint="default" w:ascii="Times New Roman" w:hAnsi="Times New Roman" w:cs="Times New Roman"/>
        </w:rPr>
      </w:pPr>
      <w:r>
        <w:rPr>
          <w:rFonts w:hint="default" w:ascii="Times New Roman" w:hAnsi="Times New Roman" w:eastAsia="仿宋_GB2312" w:cs="Times New Roman"/>
          <w:sz w:val="32"/>
          <w:szCs w:val="32"/>
          <w:lang w:bidi="ar"/>
        </w:rPr>
        <w:t>2.</w:t>
      </w:r>
      <w:r>
        <w:rPr>
          <w:rFonts w:hint="default" w:ascii="Times New Roman" w:hAnsi="Times New Roman" w:eastAsia="仿宋_GB2312" w:cs="Times New Roman"/>
          <w:sz w:val="32"/>
          <w:szCs w:val="32"/>
          <w:lang w:bidi="ar"/>
        </w:rPr>
        <w:t>水生动物类考试报考专业目录</w:t>
      </w:r>
    </w:p>
    <w:p w14:paraId="27BB601A">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p w14:paraId="50D12575">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p w14:paraId="642B04EF">
      <w:pPr>
        <w:keepNext w:val="0"/>
        <w:keepLines w:val="0"/>
        <w:pageBreakBefore w:val="0"/>
        <w:kinsoku/>
        <w:wordWrap/>
        <w:overflowPunct/>
        <w:topLinePunct w:val="0"/>
        <w:autoSpaceDN/>
        <w:bidi w:val="0"/>
        <w:adjustRightInd/>
        <w:snapToGrid/>
        <w:spacing w:line="600" w:lineRule="exact"/>
        <w:ind w:firstLine="4160" w:firstLineChars="13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宁夏回族自治区农业农村厅</w:t>
      </w:r>
    </w:p>
    <w:p w14:paraId="6AC0A29E">
      <w:pPr>
        <w:keepNext w:val="0"/>
        <w:keepLines w:val="0"/>
        <w:pageBreakBefore w:val="0"/>
        <w:kinsoku/>
        <w:wordWrap/>
        <w:overflowPunct/>
        <w:topLinePunct w:val="0"/>
        <w:autoSpaceDN/>
        <w:bidi w:val="0"/>
        <w:adjustRightInd/>
        <w:snapToGrid/>
        <w:spacing w:line="600" w:lineRule="exact"/>
        <w:ind w:firstLine="640" w:firstLineChars="200"/>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202</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highlight w:val="none"/>
          <w14:textFill>
            <w14:solidFill>
              <w14:schemeClr w14:val="tx1"/>
            </w14:solidFill>
          </w14:textFill>
        </w:rPr>
        <w:t>年1月</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6</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日    </w:t>
      </w:r>
    </w:p>
    <w:p w14:paraId="692329D7">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p w14:paraId="2301AA58">
      <w:pPr>
        <w:rPr>
          <w:rFonts w:hint="default" w:ascii="Times New Roman" w:hAnsi="Times New Roman" w:cs="Times New Roman"/>
        </w:rPr>
      </w:pPr>
      <w:r>
        <w:rPr>
          <w:rFonts w:hint="default" w:ascii="Times New Roman" w:hAnsi="Times New Roman" w:cs="Times New Roman"/>
        </w:rPr>
        <w:br w:type="page"/>
      </w:r>
    </w:p>
    <w:tbl>
      <w:tblPr>
        <w:tblStyle w:val="4"/>
        <w:tblW w:w="8325" w:type="dxa"/>
        <w:tblInd w:w="93" w:type="dxa"/>
        <w:tblLayout w:type="fixed"/>
        <w:tblCellMar>
          <w:top w:w="0" w:type="dxa"/>
          <w:left w:w="108" w:type="dxa"/>
          <w:bottom w:w="0" w:type="dxa"/>
          <w:right w:w="108" w:type="dxa"/>
        </w:tblCellMar>
      </w:tblPr>
      <w:tblGrid>
        <w:gridCol w:w="1056"/>
        <w:gridCol w:w="7269"/>
      </w:tblGrid>
      <w:tr w14:paraId="5901FE70">
        <w:tblPrEx>
          <w:tblCellMar>
            <w:top w:w="0" w:type="dxa"/>
            <w:left w:w="108" w:type="dxa"/>
            <w:bottom w:w="0" w:type="dxa"/>
            <w:right w:w="108" w:type="dxa"/>
          </w:tblCellMar>
        </w:tblPrEx>
        <w:trPr>
          <w:trHeight w:val="405" w:hRule="atLeast"/>
        </w:trPr>
        <w:tc>
          <w:tcPr>
            <w:tcW w:w="1056" w:type="dxa"/>
            <w:tcBorders>
              <w:top w:val="nil"/>
              <w:left w:val="nil"/>
              <w:bottom w:val="nil"/>
              <w:right w:val="nil"/>
            </w:tcBorders>
            <w:shd w:val="clear" w:color="auto" w:fill="auto"/>
            <w:noWrap/>
            <w:vAlign w:val="bottom"/>
          </w:tcPr>
          <w:p w14:paraId="42DA37B5">
            <w:pPr>
              <w:keepNext w:val="0"/>
              <w:keepLines w:val="0"/>
              <w:pageBreakBefore w:val="0"/>
              <w:widowControl/>
              <w:kinsoku/>
              <w:wordWrap/>
              <w:overflowPunct/>
              <w:topLinePunct w:val="0"/>
              <w:autoSpaceDN/>
              <w:bidi w:val="0"/>
              <w:adjustRightInd/>
              <w:snapToGrid/>
              <w:spacing w:line="600" w:lineRule="exact"/>
              <w:jc w:val="left"/>
              <w:textAlignment w:val="bottom"/>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附件</w:t>
            </w:r>
            <w:r>
              <w:rPr>
                <w:rStyle w:val="6"/>
                <w:rFonts w:hint="default" w:ascii="Times New Roman" w:hAnsi="Times New Roman" w:eastAsia="黑体" w:cs="Times New Roman"/>
              </w:rPr>
              <w:t>1</w:t>
            </w:r>
          </w:p>
        </w:tc>
        <w:tc>
          <w:tcPr>
            <w:tcW w:w="7269" w:type="dxa"/>
            <w:tcBorders>
              <w:top w:val="nil"/>
              <w:left w:val="nil"/>
              <w:bottom w:val="nil"/>
              <w:right w:val="nil"/>
            </w:tcBorders>
            <w:shd w:val="clear" w:color="auto" w:fill="auto"/>
            <w:noWrap/>
            <w:vAlign w:val="bottom"/>
          </w:tcPr>
          <w:p w14:paraId="3817A814">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color w:val="000000"/>
                <w:sz w:val="24"/>
              </w:rPr>
            </w:pPr>
          </w:p>
        </w:tc>
      </w:tr>
      <w:tr w14:paraId="65D8BF93">
        <w:tblPrEx>
          <w:tblCellMar>
            <w:top w:w="0" w:type="dxa"/>
            <w:left w:w="108" w:type="dxa"/>
            <w:bottom w:w="0" w:type="dxa"/>
            <w:right w:w="108" w:type="dxa"/>
          </w:tblCellMar>
        </w:tblPrEx>
        <w:trPr>
          <w:trHeight w:val="500" w:hRule="atLeast"/>
        </w:trPr>
        <w:tc>
          <w:tcPr>
            <w:tcW w:w="8325" w:type="dxa"/>
            <w:gridSpan w:val="2"/>
            <w:tcBorders>
              <w:top w:val="nil"/>
              <w:left w:val="nil"/>
              <w:bottom w:val="nil"/>
              <w:right w:val="nil"/>
            </w:tcBorders>
            <w:shd w:val="clear" w:color="auto" w:fill="auto"/>
            <w:vAlign w:val="bottom"/>
          </w:tcPr>
          <w:p w14:paraId="14D6EC76">
            <w:pPr>
              <w:keepNext w:val="0"/>
              <w:keepLines w:val="0"/>
              <w:pageBreakBefore w:val="0"/>
              <w:widowControl/>
              <w:kinsoku/>
              <w:wordWrap/>
              <w:overflowPunct/>
              <w:topLinePunct w:val="0"/>
              <w:autoSpaceDN/>
              <w:bidi w:val="0"/>
              <w:adjustRightInd/>
              <w:snapToGrid/>
              <w:spacing w:line="600" w:lineRule="exact"/>
              <w:jc w:val="center"/>
              <w:textAlignment w:val="bottom"/>
              <w:rPr>
                <w:rFonts w:hint="default" w:ascii="Times New Roman" w:hAnsi="Times New Roman" w:eastAsia="华文中宋" w:cs="Times New Roman"/>
                <w:b/>
                <w:bCs/>
                <w:color w:val="000000"/>
                <w:kern w:val="0"/>
                <w:sz w:val="40"/>
                <w:szCs w:val="40"/>
              </w:rPr>
            </w:pPr>
          </w:p>
        </w:tc>
      </w:tr>
      <w:tr w14:paraId="68BD77CA">
        <w:tblPrEx>
          <w:tblCellMar>
            <w:top w:w="0" w:type="dxa"/>
            <w:left w:w="108" w:type="dxa"/>
            <w:bottom w:w="0" w:type="dxa"/>
            <w:right w:w="108" w:type="dxa"/>
          </w:tblCellMar>
        </w:tblPrEx>
        <w:trPr>
          <w:trHeight w:val="500" w:hRule="atLeast"/>
        </w:trPr>
        <w:tc>
          <w:tcPr>
            <w:tcW w:w="8325" w:type="dxa"/>
            <w:gridSpan w:val="2"/>
            <w:tcBorders>
              <w:top w:val="nil"/>
              <w:left w:val="nil"/>
              <w:bottom w:val="nil"/>
              <w:right w:val="nil"/>
            </w:tcBorders>
            <w:shd w:val="clear" w:color="auto" w:fill="auto"/>
            <w:vAlign w:val="bottom"/>
          </w:tcPr>
          <w:p w14:paraId="5226BFEB">
            <w:pPr>
              <w:keepNext w:val="0"/>
              <w:keepLines w:val="0"/>
              <w:pageBreakBefore w:val="0"/>
              <w:widowControl/>
              <w:kinsoku/>
              <w:wordWrap/>
              <w:overflowPunct/>
              <w:topLinePunct w:val="0"/>
              <w:autoSpaceDN/>
              <w:bidi w:val="0"/>
              <w:adjustRightInd/>
              <w:snapToGrid/>
              <w:spacing w:line="600" w:lineRule="exact"/>
              <w:jc w:val="center"/>
              <w:textAlignment w:val="bottom"/>
              <w:rPr>
                <w:rFonts w:hint="default" w:ascii="Times New Roman" w:hAnsi="Times New Roman" w:eastAsia="华文中宋" w:cs="Times New Roman"/>
                <w:b/>
                <w:bCs/>
                <w:color w:val="000000"/>
                <w:sz w:val="40"/>
                <w:szCs w:val="40"/>
              </w:rPr>
            </w:pPr>
            <w:r>
              <w:rPr>
                <w:rFonts w:hint="default" w:ascii="Times New Roman" w:hAnsi="Times New Roman" w:eastAsia="华文中宋" w:cs="Times New Roman"/>
                <w:color w:val="000000"/>
                <w:kern w:val="0"/>
                <w:sz w:val="42"/>
                <w:szCs w:val="42"/>
              </w:rPr>
              <w:t>兽医全科类考试报考专业目录</w:t>
            </w:r>
          </w:p>
        </w:tc>
      </w:tr>
      <w:tr w14:paraId="66A37FCC">
        <w:tblPrEx>
          <w:tblCellMar>
            <w:top w:w="0" w:type="dxa"/>
            <w:left w:w="108" w:type="dxa"/>
            <w:bottom w:w="0" w:type="dxa"/>
            <w:right w:w="108" w:type="dxa"/>
          </w:tblCellMar>
        </w:tblPrEx>
        <w:trPr>
          <w:trHeight w:val="850" w:hRule="atLeast"/>
        </w:trPr>
        <w:tc>
          <w:tcPr>
            <w:tcW w:w="8325" w:type="dxa"/>
            <w:gridSpan w:val="2"/>
            <w:tcBorders>
              <w:top w:val="nil"/>
              <w:left w:val="nil"/>
              <w:bottom w:val="single" w:color="000000" w:sz="4" w:space="0"/>
              <w:right w:val="nil"/>
            </w:tcBorders>
            <w:shd w:val="clear" w:color="auto" w:fill="auto"/>
            <w:noWrap/>
            <w:vAlign w:val="center"/>
          </w:tcPr>
          <w:p w14:paraId="22627E3F">
            <w:pPr>
              <w:keepNext w:val="0"/>
              <w:keepLines w:val="0"/>
              <w:pageBreakBefore w:val="0"/>
              <w:widowControl/>
              <w:kinsoku/>
              <w:wordWrap/>
              <w:overflowPunct/>
              <w:topLinePunct w:val="0"/>
              <w:autoSpaceDN/>
              <w:bidi w:val="0"/>
              <w:adjustRightInd/>
              <w:snapToGrid/>
              <w:spacing w:line="600" w:lineRule="exact"/>
              <w:jc w:val="left"/>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32"/>
                <w:szCs w:val="32"/>
              </w:rPr>
              <w:t>一、研究生学科专业（44个）</w:t>
            </w:r>
          </w:p>
        </w:tc>
      </w:tr>
      <w:tr w14:paraId="0562DB08">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68C8C68">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28"/>
                <w:szCs w:val="28"/>
              </w:rPr>
            </w:pPr>
            <w:r>
              <w:rPr>
                <w:rFonts w:hint="default" w:ascii="Times New Roman" w:hAnsi="Times New Roman" w:cs="Times New Roman"/>
                <w:b/>
                <w:bCs/>
                <w:color w:val="000000"/>
                <w:kern w:val="0"/>
                <w:sz w:val="28"/>
                <w:szCs w:val="28"/>
              </w:rPr>
              <w:t>序号</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3C8F5B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28"/>
                <w:szCs w:val="28"/>
              </w:rPr>
            </w:pPr>
            <w:r>
              <w:rPr>
                <w:rFonts w:hint="default" w:ascii="Times New Roman" w:hAnsi="Times New Roman" w:cs="Times New Roman"/>
                <w:b/>
                <w:bCs/>
                <w:color w:val="000000"/>
                <w:kern w:val="0"/>
                <w:sz w:val="28"/>
                <w:szCs w:val="28"/>
              </w:rPr>
              <w:t>专业名称</w:t>
            </w:r>
          </w:p>
        </w:tc>
      </w:tr>
      <w:tr w14:paraId="2B7B8207">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3E2881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93E1C7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kern w:val="0"/>
                <w:sz w:val="32"/>
                <w:szCs w:val="32"/>
              </w:rPr>
              <w:t>传染病学与预防兽医学</w:t>
            </w:r>
          </w:p>
        </w:tc>
      </w:tr>
      <w:tr w14:paraId="706A1803">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3D8B1F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446046A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动物检疫与动物源食品安全</w:t>
            </w:r>
          </w:p>
        </w:tc>
      </w:tr>
      <w:tr w14:paraId="71AA8663">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0018BF1">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6B7EE81">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动物解剖学、组织学与胚胎学</w:t>
            </w:r>
          </w:p>
        </w:tc>
      </w:tr>
      <w:tr w14:paraId="22B3C76D">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C81840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361C6B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动物免疫学</w:t>
            </w:r>
          </w:p>
        </w:tc>
      </w:tr>
      <w:tr w14:paraId="5A1265C2">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5BD9A60">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4624CBA9">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动物生理学、动物生物化学</w:t>
            </w:r>
          </w:p>
        </w:tc>
      </w:tr>
      <w:tr w14:paraId="11130523">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91F1CB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70F49F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动物生物化学与分子生物学</w:t>
            </w:r>
          </w:p>
        </w:tc>
      </w:tr>
      <w:tr w14:paraId="70B01081">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F22F2C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F595819">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动物生物化学与分子遗传学</w:t>
            </w:r>
          </w:p>
        </w:tc>
      </w:tr>
      <w:tr w14:paraId="303B6A92">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1CA2272">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8</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E55AD1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动物生物技术</w:t>
            </w:r>
          </w:p>
        </w:tc>
      </w:tr>
      <w:tr w14:paraId="63005931">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B1BD1A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9</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FFCC79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动物药学</w:t>
            </w:r>
          </w:p>
        </w:tc>
      </w:tr>
      <w:tr w14:paraId="2F8D8B9A">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3C95C7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10</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F45356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动物医学工程</w:t>
            </w:r>
          </w:p>
        </w:tc>
      </w:tr>
      <w:tr w14:paraId="1E947ADA">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DFD14D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66AA32F">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动物医学生物学</w:t>
            </w:r>
          </w:p>
        </w:tc>
      </w:tr>
      <w:tr w14:paraId="6D51432A">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3E2EC72">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4ECA3AB1">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动物性食品安全（仅限安徽农业大学）</w:t>
            </w:r>
          </w:p>
        </w:tc>
      </w:tr>
      <w:tr w14:paraId="1867867D">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A77B5F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D3FAA7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动物营养生理（仅限山东农业大学）</w:t>
            </w:r>
          </w:p>
        </w:tc>
      </w:tr>
      <w:tr w14:paraId="3CEDB9C7">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B7C953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97682BC">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基础兽医学</w:t>
            </w:r>
          </w:p>
        </w:tc>
      </w:tr>
      <w:tr w14:paraId="15D85928">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74F27D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6BB993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临床兽医学</w:t>
            </w:r>
          </w:p>
        </w:tc>
      </w:tr>
      <w:tr w14:paraId="7ECD6FF3">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608282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41F659F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禽病学</w:t>
            </w:r>
          </w:p>
        </w:tc>
      </w:tr>
      <w:tr w14:paraId="6B1AD2F6">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A9AA81C">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6C3F18F">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人兽共患病学</w:t>
            </w:r>
          </w:p>
        </w:tc>
      </w:tr>
      <w:tr w14:paraId="21FB0798">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317C6E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18</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469CC0BC">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人兽共患病与公共卫生</w:t>
            </w:r>
          </w:p>
        </w:tc>
      </w:tr>
      <w:tr w14:paraId="2C941B08">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B026D42">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19</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5185277">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人兽共患疫病学</w:t>
            </w:r>
          </w:p>
        </w:tc>
      </w:tr>
      <w:tr w14:paraId="5B8EF6DD">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84D7C94">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20</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75ABA1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实验动物兽医学</w:t>
            </w:r>
          </w:p>
        </w:tc>
      </w:tr>
      <w:tr w14:paraId="1FED026C">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D517EF4">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21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4CA6040">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实验动物学与比较医学（仅限扬州大学）</w:t>
            </w:r>
          </w:p>
        </w:tc>
      </w:tr>
      <w:tr w14:paraId="31B27E51">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D75A78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ACBE4FC">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兽药学</w:t>
            </w:r>
          </w:p>
        </w:tc>
      </w:tr>
      <w:tr w14:paraId="127B0929">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D8282E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8279EC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w:t>
            </w:r>
          </w:p>
        </w:tc>
      </w:tr>
      <w:tr w14:paraId="707BE110">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B93B0B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E509D2F">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兽医病理学</w:t>
            </w:r>
          </w:p>
        </w:tc>
      </w:tr>
      <w:tr w14:paraId="519F1925">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AE53EE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3E8319F">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兽医产科学</w:t>
            </w:r>
          </w:p>
        </w:tc>
      </w:tr>
      <w:tr w14:paraId="4241B2E7">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B73EB2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41DF51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兽医公共卫生</w:t>
            </w:r>
          </w:p>
        </w:tc>
      </w:tr>
      <w:tr w14:paraId="21A80BF6">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07F597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AD5B05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兽医公共卫生学</w:t>
            </w:r>
          </w:p>
        </w:tc>
      </w:tr>
      <w:tr w14:paraId="5DC2BBF4">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29A78D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28</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7B0FA30">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兽医公共卫生与食品安全</w:t>
            </w:r>
          </w:p>
        </w:tc>
      </w:tr>
      <w:tr w14:paraId="7CF44717">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3C7B91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29</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E0C1EC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兽医寄生虫学与寄生虫病学</w:t>
            </w:r>
          </w:p>
        </w:tc>
      </w:tr>
      <w:tr w14:paraId="7ADCF6E5">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E0E192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30</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963793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兽医临床诊断学</w:t>
            </w:r>
          </w:p>
        </w:tc>
      </w:tr>
      <w:tr w14:paraId="2496E18D">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0A9F94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326A58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兽医内科学</w:t>
            </w:r>
          </w:p>
        </w:tc>
      </w:tr>
      <w:tr w14:paraId="5457FA38">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7495CB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121AB7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兽医生物工程</w:t>
            </w:r>
          </w:p>
        </w:tc>
      </w:tr>
      <w:tr w14:paraId="1D5D7171">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13334A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35E393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兽医生物技术</w:t>
            </w:r>
          </w:p>
        </w:tc>
      </w:tr>
      <w:tr w14:paraId="6F6DB3E4">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A35AEDC">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524611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兽医生物信息学</w:t>
            </w:r>
          </w:p>
        </w:tc>
      </w:tr>
      <w:tr w14:paraId="57AA79DA">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9FD84E2">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FEBF4B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兽医生物医学</w:t>
            </w:r>
          </w:p>
        </w:tc>
      </w:tr>
      <w:tr w14:paraId="318C8901">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C35706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1FACC4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兽医外科学</w:t>
            </w:r>
          </w:p>
        </w:tc>
      </w:tr>
      <w:tr w14:paraId="47E20018">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A2D9C8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37DDF8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兽医微生物学与免疫学</w:t>
            </w:r>
          </w:p>
        </w:tc>
      </w:tr>
      <w:tr w14:paraId="7B7E8960">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228C48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38</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07F510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兽医学</w:t>
            </w:r>
          </w:p>
        </w:tc>
      </w:tr>
      <w:tr w14:paraId="5A950BA8">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266C4F9">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39</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12B2D07">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兽医药理学与毒理学</w:t>
            </w:r>
          </w:p>
        </w:tc>
      </w:tr>
      <w:tr w14:paraId="4946AD66">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93A765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40</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BC5866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兽医药学</w:t>
            </w:r>
          </w:p>
        </w:tc>
      </w:tr>
      <w:tr w14:paraId="3F1A5D2A">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25204DC">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41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B279DB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细胞工程（仅限西北民族大学）</w:t>
            </w:r>
          </w:p>
        </w:tc>
      </w:tr>
      <w:tr w14:paraId="1FFA336E">
        <w:tblPrEx>
          <w:tblCellMar>
            <w:top w:w="0" w:type="dxa"/>
            <w:left w:w="108" w:type="dxa"/>
            <w:bottom w:w="0" w:type="dxa"/>
            <w:right w:w="108" w:type="dxa"/>
          </w:tblCellMar>
        </w:tblPrEx>
        <w:trPr>
          <w:trHeight w:val="340"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8DD313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929561F">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预防兽医学</w:t>
            </w:r>
          </w:p>
        </w:tc>
      </w:tr>
      <w:tr w14:paraId="5FA3C28B">
        <w:tblPrEx>
          <w:tblCellMar>
            <w:top w:w="0" w:type="dxa"/>
            <w:left w:w="108" w:type="dxa"/>
            <w:bottom w:w="0" w:type="dxa"/>
            <w:right w:w="108" w:type="dxa"/>
          </w:tblCellMar>
        </w:tblPrEx>
        <w:trPr>
          <w:trHeight w:val="90" w:hRule="atLeast"/>
        </w:trPr>
        <w:tc>
          <w:tcPr>
            <w:tcW w:w="1056" w:type="dxa"/>
            <w:tcBorders>
              <w:top w:val="single" w:color="000000" w:sz="4" w:space="0"/>
              <w:left w:val="single" w:color="000000" w:sz="4" w:space="0"/>
              <w:bottom w:val="single" w:color="auto" w:sz="4" w:space="0"/>
              <w:right w:val="single" w:color="000000" w:sz="4" w:space="0"/>
            </w:tcBorders>
            <w:shd w:val="clear" w:color="auto" w:fill="auto"/>
          </w:tcPr>
          <w:p w14:paraId="03AB9A6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43</w:t>
            </w:r>
          </w:p>
        </w:tc>
        <w:tc>
          <w:tcPr>
            <w:tcW w:w="7269" w:type="dxa"/>
            <w:tcBorders>
              <w:top w:val="single" w:color="000000" w:sz="4" w:space="0"/>
              <w:left w:val="single" w:color="000000" w:sz="4" w:space="0"/>
              <w:bottom w:val="single" w:color="auto" w:sz="4" w:space="0"/>
              <w:right w:val="single" w:color="000000" w:sz="4" w:space="0"/>
            </w:tcBorders>
            <w:shd w:val="clear" w:color="auto" w:fill="auto"/>
          </w:tcPr>
          <w:p w14:paraId="2BEC6FE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中兽药学</w:t>
            </w:r>
          </w:p>
        </w:tc>
      </w:tr>
      <w:tr w14:paraId="300EA269">
        <w:tblPrEx>
          <w:tblCellMar>
            <w:top w:w="0" w:type="dxa"/>
            <w:left w:w="108" w:type="dxa"/>
            <w:bottom w:w="0" w:type="dxa"/>
            <w:right w:w="108" w:type="dxa"/>
          </w:tblCellMar>
        </w:tblPrEx>
        <w:trPr>
          <w:trHeight w:val="340" w:hRule="atLeast"/>
        </w:trPr>
        <w:tc>
          <w:tcPr>
            <w:tcW w:w="1056" w:type="dxa"/>
            <w:tcBorders>
              <w:top w:val="single" w:color="auto" w:sz="4" w:space="0"/>
              <w:left w:val="single" w:color="auto" w:sz="4" w:space="0"/>
              <w:bottom w:val="single" w:color="auto" w:sz="4" w:space="0"/>
              <w:right w:val="single" w:color="auto" w:sz="4" w:space="0"/>
            </w:tcBorders>
            <w:shd w:val="clear" w:color="auto" w:fill="auto"/>
          </w:tcPr>
          <w:p w14:paraId="1029F7F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44</w:t>
            </w:r>
          </w:p>
        </w:tc>
        <w:tc>
          <w:tcPr>
            <w:tcW w:w="7269" w:type="dxa"/>
            <w:tcBorders>
              <w:top w:val="single" w:color="auto" w:sz="4" w:space="0"/>
              <w:left w:val="single" w:color="auto" w:sz="4" w:space="0"/>
              <w:bottom w:val="single" w:color="auto" w:sz="4" w:space="0"/>
              <w:right w:val="single" w:color="auto" w:sz="4" w:space="0"/>
            </w:tcBorders>
            <w:shd w:val="clear" w:color="auto" w:fill="auto"/>
          </w:tcPr>
          <w:p w14:paraId="2B04B71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中兽医学</w:t>
            </w:r>
          </w:p>
        </w:tc>
      </w:tr>
      <w:tr w14:paraId="231CEF08">
        <w:tblPrEx>
          <w:tblCellMar>
            <w:top w:w="0" w:type="dxa"/>
            <w:left w:w="108" w:type="dxa"/>
            <w:bottom w:w="0" w:type="dxa"/>
            <w:right w:w="108" w:type="dxa"/>
          </w:tblCellMar>
        </w:tblPrEx>
        <w:trPr>
          <w:trHeight w:val="859" w:hRule="atLeast"/>
        </w:trPr>
        <w:tc>
          <w:tcPr>
            <w:tcW w:w="8325" w:type="dxa"/>
            <w:gridSpan w:val="2"/>
            <w:tcBorders>
              <w:top w:val="nil"/>
              <w:left w:val="nil"/>
              <w:bottom w:val="single" w:color="auto" w:sz="4" w:space="0"/>
              <w:right w:val="nil"/>
            </w:tcBorders>
            <w:shd w:val="clear" w:color="auto" w:fill="auto"/>
            <w:noWrap/>
            <w:vAlign w:val="center"/>
          </w:tcPr>
          <w:p w14:paraId="2142BC5B">
            <w:pPr>
              <w:keepNext w:val="0"/>
              <w:keepLines w:val="0"/>
              <w:pageBreakBefore w:val="0"/>
              <w:widowControl/>
              <w:kinsoku/>
              <w:wordWrap/>
              <w:overflowPunct/>
              <w:topLinePunct w:val="0"/>
              <w:autoSpaceDN/>
              <w:bidi w:val="0"/>
              <w:adjustRightInd/>
              <w:snapToGrid/>
              <w:spacing w:line="600" w:lineRule="exact"/>
              <w:jc w:val="left"/>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32"/>
                <w:szCs w:val="32"/>
              </w:rPr>
              <w:t>二、本科专业（16个）</w:t>
            </w:r>
          </w:p>
        </w:tc>
      </w:tr>
      <w:tr w14:paraId="6C6F611F">
        <w:tblPrEx>
          <w:tblCellMar>
            <w:top w:w="0" w:type="dxa"/>
            <w:left w:w="108" w:type="dxa"/>
            <w:bottom w:w="0" w:type="dxa"/>
            <w:right w:w="108" w:type="dxa"/>
          </w:tblCellMar>
        </w:tblPrEx>
        <w:trPr>
          <w:trHeight w:val="375" w:hRule="atLeast"/>
        </w:trPr>
        <w:tc>
          <w:tcPr>
            <w:tcW w:w="1056" w:type="dxa"/>
            <w:tcBorders>
              <w:top w:val="single" w:color="auto" w:sz="4" w:space="0"/>
              <w:left w:val="single" w:color="000000" w:sz="4" w:space="0"/>
              <w:bottom w:val="single" w:color="000000" w:sz="4" w:space="0"/>
              <w:right w:val="single" w:color="000000" w:sz="4" w:space="0"/>
            </w:tcBorders>
            <w:shd w:val="clear" w:color="auto" w:fill="auto"/>
          </w:tcPr>
          <w:p w14:paraId="79A8458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28"/>
                <w:szCs w:val="28"/>
              </w:rPr>
            </w:pPr>
            <w:r>
              <w:rPr>
                <w:rFonts w:hint="default" w:ascii="Times New Roman" w:hAnsi="Times New Roman" w:cs="Times New Roman"/>
                <w:b/>
                <w:bCs/>
                <w:color w:val="000000"/>
                <w:kern w:val="0"/>
                <w:sz w:val="28"/>
                <w:szCs w:val="28"/>
              </w:rPr>
              <w:t>序号</w:t>
            </w:r>
          </w:p>
        </w:tc>
        <w:tc>
          <w:tcPr>
            <w:tcW w:w="7269" w:type="dxa"/>
            <w:tcBorders>
              <w:top w:val="single" w:color="auto" w:sz="4" w:space="0"/>
              <w:left w:val="single" w:color="000000" w:sz="4" w:space="0"/>
              <w:bottom w:val="single" w:color="000000" w:sz="4" w:space="0"/>
              <w:right w:val="single" w:color="000000" w:sz="4" w:space="0"/>
            </w:tcBorders>
            <w:shd w:val="clear" w:color="auto" w:fill="auto"/>
          </w:tcPr>
          <w:p w14:paraId="7184CB4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28"/>
                <w:szCs w:val="28"/>
              </w:rPr>
            </w:pPr>
            <w:r>
              <w:rPr>
                <w:rFonts w:hint="default" w:ascii="Times New Roman" w:hAnsi="Times New Roman" w:cs="Times New Roman"/>
                <w:b/>
                <w:bCs/>
                <w:color w:val="000000"/>
                <w:kern w:val="0"/>
                <w:sz w:val="28"/>
                <w:szCs w:val="28"/>
              </w:rPr>
              <w:t>专业名称</w:t>
            </w:r>
          </w:p>
        </w:tc>
      </w:tr>
      <w:tr w14:paraId="696E8523">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79D51D8">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B4C7619">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畜牧兽医</w:t>
            </w:r>
          </w:p>
        </w:tc>
      </w:tr>
      <w:tr w14:paraId="0020644C">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5306A2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4596E8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畜牧兽医与管理</w:t>
            </w:r>
          </w:p>
        </w:tc>
      </w:tr>
      <w:tr w14:paraId="341B3E41">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125275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133300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动物防疫与检疫</w:t>
            </w:r>
          </w:p>
        </w:tc>
      </w:tr>
      <w:tr w14:paraId="4FEA436F">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895622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BF3B0F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动物检疫与食品检验</w:t>
            </w:r>
          </w:p>
        </w:tc>
      </w:tr>
      <w:tr w14:paraId="185505A1">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4CFA058">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7C99C5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动物科学与动物医学</w:t>
            </w:r>
          </w:p>
        </w:tc>
      </w:tr>
      <w:tr w14:paraId="6AD7CFDB">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31618F0">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CC8634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动物生物技术</w:t>
            </w:r>
          </w:p>
        </w:tc>
      </w:tr>
      <w:tr w14:paraId="55D8AD91">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136E1D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D1D1D4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动物药学</w:t>
            </w:r>
          </w:p>
        </w:tc>
      </w:tr>
      <w:tr w14:paraId="43B652A6">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4B82E5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8</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7E3CF2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动物医学</w:t>
            </w:r>
          </w:p>
        </w:tc>
      </w:tr>
      <w:tr w14:paraId="0131B2B7">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D17906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9</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FDE3CF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动植物检疫</w:t>
            </w:r>
          </w:p>
        </w:tc>
      </w:tr>
      <w:tr w14:paraId="59413887">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4C0BAB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10</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BA613B0">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w:t>
            </w:r>
          </w:p>
        </w:tc>
      </w:tr>
      <w:tr w14:paraId="3D7DAC16">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2CC9F19">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0679F3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兽医公共卫生</w:t>
            </w:r>
          </w:p>
        </w:tc>
      </w:tr>
      <w:tr w14:paraId="1FD7E0EA">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F637092">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FCC5BC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实验动物</w:t>
            </w:r>
          </w:p>
        </w:tc>
      </w:tr>
      <w:tr w14:paraId="00E75E04">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DDEEE81">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52385E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实验动物学</w:t>
            </w:r>
          </w:p>
        </w:tc>
      </w:tr>
      <w:tr w14:paraId="23668683">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D28D7A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48F64FA7">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中兽医</w:t>
            </w:r>
          </w:p>
        </w:tc>
      </w:tr>
      <w:tr w14:paraId="09C29A0F">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3F79386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D7E5FF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中兽医学</w:t>
            </w:r>
          </w:p>
        </w:tc>
      </w:tr>
      <w:tr w14:paraId="5225AA88">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F17161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289D27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宠物医疗</w:t>
            </w:r>
          </w:p>
        </w:tc>
      </w:tr>
      <w:tr w14:paraId="45D6847E">
        <w:tblPrEx>
          <w:tblCellMar>
            <w:top w:w="0" w:type="dxa"/>
            <w:left w:w="108" w:type="dxa"/>
            <w:bottom w:w="0" w:type="dxa"/>
            <w:right w:w="108" w:type="dxa"/>
          </w:tblCellMar>
        </w:tblPrEx>
        <w:trPr>
          <w:trHeight w:val="850" w:hRule="atLeast"/>
        </w:trPr>
        <w:tc>
          <w:tcPr>
            <w:tcW w:w="8325" w:type="dxa"/>
            <w:gridSpan w:val="2"/>
            <w:tcBorders>
              <w:top w:val="nil"/>
              <w:left w:val="nil"/>
              <w:bottom w:val="single" w:color="000000" w:sz="4" w:space="0"/>
              <w:right w:val="nil"/>
            </w:tcBorders>
            <w:shd w:val="clear" w:color="auto" w:fill="auto"/>
            <w:noWrap/>
            <w:vAlign w:val="center"/>
          </w:tcPr>
          <w:p w14:paraId="3C03F569">
            <w:pPr>
              <w:keepNext w:val="0"/>
              <w:keepLines w:val="0"/>
              <w:pageBreakBefore w:val="0"/>
              <w:widowControl/>
              <w:kinsoku/>
              <w:wordWrap/>
              <w:overflowPunct/>
              <w:topLinePunct w:val="0"/>
              <w:autoSpaceDN/>
              <w:bidi w:val="0"/>
              <w:adjustRightInd/>
              <w:snapToGrid/>
              <w:spacing w:line="600" w:lineRule="exact"/>
              <w:jc w:val="left"/>
              <w:textAlignment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kern w:val="0"/>
                <w:sz w:val="32"/>
                <w:szCs w:val="32"/>
              </w:rPr>
              <w:t>三、专科专业（27个）</w:t>
            </w:r>
          </w:p>
        </w:tc>
      </w:tr>
      <w:tr w14:paraId="073631FC">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3AF3F9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28"/>
                <w:szCs w:val="28"/>
              </w:rPr>
            </w:pPr>
            <w:r>
              <w:rPr>
                <w:rFonts w:hint="default" w:ascii="Times New Roman" w:hAnsi="Times New Roman" w:cs="Times New Roman"/>
                <w:b/>
                <w:bCs/>
                <w:color w:val="000000"/>
                <w:kern w:val="0"/>
                <w:sz w:val="28"/>
                <w:szCs w:val="28"/>
              </w:rPr>
              <w:t>序号</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80A2D92">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28"/>
                <w:szCs w:val="28"/>
              </w:rPr>
            </w:pPr>
            <w:r>
              <w:rPr>
                <w:rFonts w:hint="default" w:ascii="Times New Roman" w:hAnsi="Times New Roman" w:cs="Times New Roman"/>
                <w:b/>
                <w:bCs/>
                <w:color w:val="000000"/>
                <w:kern w:val="0"/>
                <w:sz w:val="28"/>
                <w:szCs w:val="28"/>
              </w:rPr>
              <w:t>专业名称</w:t>
            </w:r>
          </w:p>
        </w:tc>
      </w:tr>
      <w:tr w14:paraId="76B781F9">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345CF51">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4EC94C69">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草食动物生产与疫病防制</w:t>
            </w:r>
          </w:p>
        </w:tc>
      </w:tr>
      <w:tr w14:paraId="013CFF47">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C4EB2C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632763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宠物临床诊疗技术</w:t>
            </w:r>
          </w:p>
        </w:tc>
      </w:tr>
      <w:tr w14:paraId="5E9017F0">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CB88F4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31C112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宠物养护与疫病防治</w:t>
            </w:r>
          </w:p>
        </w:tc>
      </w:tr>
      <w:tr w14:paraId="6E52A9D6">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63ED5B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51C58A7">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宠物药学</w:t>
            </w:r>
          </w:p>
        </w:tc>
      </w:tr>
      <w:tr w14:paraId="44B4C273">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69EE66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9ECA59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宠物医疗与保健</w:t>
            </w:r>
          </w:p>
        </w:tc>
      </w:tr>
      <w:tr w14:paraId="26474EF2">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F6BAB4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8BEE34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宠物医学</w:t>
            </w:r>
          </w:p>
        </w:tc>
      </w:tr>
      <w:tr w14:paraId="756332AF">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AA5113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12C467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宠物医疗技术</w:t>
            </w:r>
          </w:p>
        </w:tc>
      </w:tr>
      <w:tr w14:paraId="0CBD25C7">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2784FD4">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8</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89013C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畜牧兽医</w:t>
            </w:r>
          </w:p>
        </w:tc>
      </w:tr>
      <w:tr w14:paraId="2B8FCA7D">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38B163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9</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495A8F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畜牧兽医与管理</w:t>
            </w:r>
          </w:p>
        </w:tc>
      </w:tr>
      <w:tr w14:paraId="09D9C414">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DD6171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10</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894BBF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动物防疫与检疫</w:t>
            </w:r>
          </w:p>
        </w:tc>
      </w:tr>
      <w:tr w14:paraId="31EF09BB">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7479A0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8364CC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动物养殖与疾病防治</w:t>
            </w:r>
          </w:p>
        </w:tc>
      </w:tr>
      <w:tr w14:paraId="6557EDD0">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C269AD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149802E">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动物科学与动物医学</w:t>
            </w:r>
          </w:p>
        </w:tc>
      </w:tr>
      <w:tr w14:paraId="56ACED7F">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289D4DE">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C60BC8C">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动物性食品卫生检疫</w:t>
            </w:r>
          </w:p>
        </w:tc>
      </w:tr>
      <w:tr w14:paraId="3E7450BC">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5D40244">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6FCC78AE">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动物药学</w:t>
            </w:r>
          </w:p>
        </w:tc>
      </w:tr>
      <w:tr w14:paraId="05CCB91A">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7256839">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E6458C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动物医学</w:t>
            </w:r>
          </w:p>
        </w:tc>
      </w:tr>
      <w:tr w14:paraId="65D9B077">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7F3676C">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5C4A3A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动物医学检验</w:t>
            </w:r>
          </w:p>
        </w:tc>
      </w:tr>
      <w:tr w14:paraId="64A02519">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04AE756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053215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动物医学检验技术</w:t>
            </w:r>
          </w:p>
        </w:tc>
      </w:tr>
      <w:tr w14:paraId="3F552568">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50A16A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18</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3CBA32A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动物医药</w:t>
            </w:r>
          </w:p>
        </w:tc>
      </w:tr>
      <w:tr w14:paraId="1A9D71D0">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77C87900">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19</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75F8DF2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动植物检疫</w:t>
            </w:r>
          </w:p>
        </w:tc>
      </w:tr>
      <w:tr w14:paraId="19D21BA4">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46F577B1">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20</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D68B95E">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兽药生产与营销</w:t>
            </w:r>
          </w:p>
        </w:tc>
      </w:tr>
      <w:tr w14:paraId="230F7C94">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9DC08A9">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21</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F5F850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兽药制药技术</w:t>
            </w:r>
          </w:p>
        </w:tc>
      </w:tr>
      <w:tr w14:paraId="0C134B21">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6BBC2B1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22</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67765E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w:t>
            </w:r>
          </w:p>
        </w:tc>
      </w:tr>
      <w:tr w14:paraId="30A507ED">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2B8898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23</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016122B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兽医公共卫生</w:t>
            </w:r>
          </w:p>
        </w:tc>
      </w:tr>
      <w:tr w14:paraId="595FB615">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1A07B3D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24</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2D71BFC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兽医医药</w:t>
            </w:r>
          </w:p>
        </w:tc>
      </w:tr>
      <w:tr w14:paraId="285EB41F">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8A85C3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25</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1ADA601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养禽与禽病防治</w:t>
            </w:r>
          </w:p>
        </w:tc>
      </w:tr>
      <w:tr w14:paraId="4A58BE66">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231A4BE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26</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9BB0DF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猪生产与疾病防制</w:t>
            </w:r>
          </w:p>
        </w:tc>
      </w:tr>
      <w:tr w14:paraId="7121923F">
        <w:tblPrEx>
          <w:tblCellMar>
            <w:top w:w="0" w:type="dxa"/>
            <w:left w:w="108" w:type="dxa"/>
            <w:bottom w:w="0" w:type="dxa"/>
            <w:right w:w="108" w:type="dxa"/>
          </w:tblCellMar>
        </w:tblPrEx>
        <w:trPr>
          <w:trHeight w:val="375"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tcPr>
          <w:p w14:paraId="5C9D0CE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27</w:t>
            </w:r>
          </w:p>
        </w:tc>
        <w:tc>
          <w:tcPr>
            <w:tcW w:w="7269" w:type="dxa"/>
            <w:tcBorders>
              <w:top w:val="single" w:color="000000" w:sz="4" w:space="0"/>
              <w:left w:val="single" w:color="000000" w:sz="4" w:space="0"/>
              <w:bottom w:val="single" w:color="000000" w:sz="4" w:space="0"/>
              <w:right w:val="single" w:color="000000" w:sz="4" w:space="0"/>
            </w:tcBorders>
            <w:shd w:val="clear" w:color="auto" w:fill="auto"/>
          </w:tcPr>
          <w:p w14:paraId="52F7028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中兽医</w:t>
            </w:r>
          </w:p>
        </w:tc>
      </w:tr>
    </w:tbl>
    <w:p w14:paraId="14244399">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p w14:paraId="762DCCCC">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p w14:paraId="332CAE19">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p w14:paraId="09A724EA">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tbl>
      <w:tblPr>
        <w:tblStyle w:val="4"/>
        <w:tblW w:w="8247" w:type="dxa"/>
        <w:tblInd w:w="140" w:type="dxa"/>
        <w:tblLayout w:type="fixed"/>
        <w:tblCellMar>
          <w:top w:w="0" w:type="dxa"/>
          <w:left w:w="108" w:type="dxa"/>
          <w:bottom w:w="0" w:type="dxa"/>
          <w:right w:w="108" w:type="dxa"/>
        </w:tblCellMar>
      </w:tblPr>
      <w:tblGrid>
        <w:gridCol w:w="1076"/>
        <w:gridCol w:w="7171"/>
      </w:tblGrid>
      <w:tr w14:paraId="73735A60">
        <w:tblPrEx>
          <w:tblCellMar>
            <w:top w:w="0" w:type="dxa"/>
            <w:left w:w="108" w:type="dxa"/>
            <w:bottom w:w="0" w:type="dxa"/>
            <w:right w:w="108" w:type="dxa"/>
          </w:tblCellMar>
        </w:tblPrEx>
        <w:trPr>
          <w:trHeight w:val="405" w:hRule="atLeast"/>
        </w:trPr>
        <w:tc>
          <w:tcPr>
            <w:tcW w:w="1076" w:type="dxa"/>
            <w:tcBorders>
              <w:top w:val="nil"/>
              <w:left w:val="nil"/>
              <w:bottom w:val="nil"/>
              <w:right w:val="nil"/>
            </w:tcBorders>
            <w:shd w:val="clear" w:color="auto" w:fill="auto"/>
            <w:noWrap/>
            <w:vAlign w:val="bottom"/>
          </w:tcPr>
          <w:p w14:paraId="2E3737DB">
            <w:pPr>
              <w:keepNext w:val="0"/>
              <w:keepLines w:val="0"/>
              <w:pageBreakBefore w:val="0"/>
              <w:widowControl/>
              <w:kinsoku/>
              <w:wordWrap/>
              <w:overflowPunct/>
              <w:topLinePunct w:val="0"/>
              <w:autoSpaceDN/>
              <w:bidi w:val="0"/>
              <w:adjustRightInd/>
              <w:snapToGrid/>
              <w:spacing w:line="600" w:lineRule="exact"/>
              <w:jc w:val="left"/>
              <w:textAlignment w:val="bottom"/>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附件</w:t>
            </w:r>
            <w:r>
              <w:rPr>
                <w:rStyle w:val="7"/>
                <w:rFonts w:hint="default" w:ascii="Times New Roman" w:hAnsi="Times New Roman" w:eastAsia="黑体" w:cs="Times New Roman"/>
              </w:rPr>
              <w:t>2</w:t>
            </w:r>
          </w:p>
        </w:tc>
        <w:tc>
          <w:tcPr>
            <w:tcW w:w="7171" w:type="dxa"/>
            <w:tcBorders>
              <w:top w:val="nil"/>
              <w:left w:val="nil"/>
              <w:bottom w:val="nil"/>
              <w:right w:val="nil"/>
            </w:tcBorders>
            <w:shd w:val="clear" w:color="auto" w:fill="auto"/>
            <w:noWrap/>
            <w:vAlign w:val="bottom"/>
          </w:tcPr>
          <w:p w14:paraId="32BDA968">
            <w:pPr>
              <w:keepNext w:val="0"/>
              <w:keepLines w:val="0"/>
              <w:pageBreakBefore w:val="0"/>
              <w:widowControl/>
              <w:kinsoku/>
              <w:wordWrap/>
              <w:overflowPunct/>
              <w:topLinePunct w:val="0"/>
              <w:autoSpaceDN/>
              <w:bidi w:val="0"/>
              <w:adjustRightInd/>
              <w:snapToGrid/>
              <w:spacing w:line="600" w:lineRule="exact"/>
              <w:rPr>
                <w:rFonts w:hint="default" w:ascii="Times New Roman" w:hAnsi="Times New Roman" w:eastAsia="黑体" w:cs="Times New Roman"/>
                <w:color w:val="000000"/>
                <w:sz w:val="24"/>
              </w:rPr>
            </w:pPr>
          </w:p>
        </w:tc>
      </w:tr>
      <w:tr w14:paraId="2D9C5B82">
        <w:tblPrEx>
          <w:tblCellMar>
            <w:top w:w="0" w:type="dxa"/>
            <w:left w:w="108" w:type="dxa"/>
            <w:bottom w:w="0" w:type="dxa"/>
            <w:right w:w="108" w:type="dxa"/>
          </w:tblCellMar>
        </w:tblPrEx>
        <w:trPr>
          <w:trHeight w:val="500" w:hRule="atLeast"/>
        </w:trPr>
        <w:tc>
          <w:tcPr>
            <w:tcW w:w="8247" w:type="dxa"/>
            <w:gridSpan w:val="2"/>
            <w:tcBorders>
              <w:top w:val="nil"/>
              <w:left w:val="nil"/>
              <w:bottom w:val="nil"/>
              <w:right w:val="nil"/>
            </w:tcBorders>
            <w:shd w:val="clear" w:color="auto" w:fill="auto"/>
            <w:vAlign w:val="bottom"/>
          </w:tcPr>
          <w:p w14:paraId="51DB63B4">
            <w:pPr>
              <w:keepNext w:val="0"/>
              <w:keepLines w:val="0"/>
              <w:pageBreakBefore w:val="0"/>
              <w:widowControl/>
              <w:kinsoku/>
              <w:wordWrap/>
              <w:overflowPunct/>
              <w:topLinePunct w:val="0"/>
              <w:autoSpaceDN/>
              <w:bidi w:val="0"/>
              <w:adjustRightInd/>
              <w:snapToGrid/>
              <w:spacing w:line="600" w:lineRule="exact"/>
              <w:jc w:val="center"/>
              <w:textAlignment w:val="bottom"/>
              <w:rPr>
                <w:rFonts w:hint="default" w:ascii="Times New Roman" w:hAnsi="Times New Roman" w:eastAsia="华文中宋" w:cs="Times New Roman"/>
                <w:color w:val="000000"/>
                <w:kern w:val="0"/>
                <w:sz w:val="42"/>
                <w:szCs w:val="42"/>
              </w:rPr>
            </w:pPr>
          </w:p>
        </w:tc>
      </w:tr>
      <w:tr w14:paraId="6D1F923E">
        <w:tblPrEx>
          <w:tblCellMar>
            <w:top w:w="0" w:type="dxa"/>
            <w:left w:w="108" w:type="dxa"/>
            <w:bottom w:w="0" w:type="dxa"/>
            <w:right w:w="108" w:type="dxa"/>
          </w:tblCellMar>
        </w:tblPrEx>
        <w:trPr>
          <w:trHeight w:val="500" w:hRule="atLeast"/>
        </w:trPr>
        <w:tc>
          <w:tcPr>
            <w:tcW w:w="8247" w:type="dxa"/>
            <w:gridSpan w:val="2"/>
            <w:tcBorders>
              <w:top w:val="nil"/>
              <w:left w:val="nil"/>
              <w:bottom w:val="nil"/>
              <w:right w:val="nil"/>
            </w:tcBorders>
            <w:shd w:val="clear" w:color="auto" w:fill="auto"/>
            <w:vAlign w:val="bottom"/>
          </w:tcPr>
          <w:p w14:paraId="1D34BDE2">
            <w:pPr>
              <w:keepNext w:val="0"/>
              <w:keepLines w:val="0"/>
              <w:pageBreakBefore w:val="0"/>
              <w:widowControl/>
              <w:kinsoku/>
              <w:wordWrap/>
              <w:overflowPunct/>
              <w:topLinePunct w:val="0"/>
              <w:autoSpaceDN/>
              <w:bidi w:val="0"/>
              <w:adjustRightInd/>
              <w:snapToGrid/>
              <w:spacing w:line="600" w:lineRule="exact"/>
              <w:jc w:val="center"/>
              <w:textAlignment w:val="bottom"/>
              <w:rPr>
                <w:rFonts w:hint="default" w:ascii="Times New Roman" w:hAnsi="Times New Roman" w:eastAsia="华文中宋" w:cs="Times New Roman"/>
                <w:b/>
                <w:bCs/>
                <w:color w:val="000000"/>
                <w:sz w:val="40"/>
                <w:szCs w:val="40"/>
              </w:rPr>
            </w:pPr>
            <w:r>
              <w:rPr>
                <w:rFonts w:hint="default" w:ascii="Times New Roman" w:hAnsi="Times New Roman" w:eastAsia="华文中宋" w:cs="Times New Roman"/>
                <w:color w:val="000000"/>
                <w:kern w:val="0"/>
                <w:sz w:val="42"/>
                <w:szCs w:val="42"/>
              </w:rPr>
              <w:t>水生动物类考试报考专业目录</w:t>
            </w:r>
          </w:p>
        </w:tc>
      </w:tr>
      <w:tr w14:paraId="72811A3D">
        <w:tblPrEx>
          <w:tblCellMar>
            <w:top w:w="0" w:type="dxa"/>
            <w:left w:w="108" w:type="dxa"/>
            <w:bottom w:w="0" w:type="dxa"/>
            <w:right w:w="108" w:type="dxa"/>
          </w:tblCellMar>
        </w:tblPrEx>
        <w:trPr>
          <w:trHeight w:val="720" w:hRule="atLeast"/>
        </w:trPr>
        <w:tc>
          <w:tcPr>
            <w:tcW w:w="8247" w:type="dxa"/>
            <w:gridSpan w:val="2"/>
            <w:tcBorders>
              <w:top w:val="nil"/>
              <w:left w:val="nil"/>
              <w:bottom w:val="single" w:color="000000" w:sz="4" w:space="0"/>
              <w:right w:val="nil"/>
            </w:tcBorders>
            <w:shd w:val="clear" w:color="auto" w:fill="auto"/>
            <w:noWrap/>
            <w:vAlign w:val="center"/>
          </w:tcPr>
          <w:p w14:paraId="18C3AAB2">
            <w:pPr>
              <w:keepNext w:val="0"/>
              <w:keepLines w:val="0"/>
              <w:pageBreakBefore w:val="0"/>
              <w:widowControl/>
              <w:kinsoku/>
              <w:wordWrap/>
              <w:overflowPunct/>
              <w:topLinePunct w:val="0"/>
              <w:autoSpaceDN/>
              <w:bidi w:val="0"/>
              <w:adjustRightInd/>
              <w:snapToGrid/>
              <w:spacing w:line="600" w:lineRule="exact"/>
              <w:jc w:val="left"/>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一、研究生学科专业（</w:t>
            </w:r>
            <w:r>
              <w:rPr>
                <w:rStyle w:val="8"/>
                <w:rFonts w:hint="default" w:ascii="Times New Roman" w:hAnsi="Times New Roman" w:eastAsia="黑体" w:cs="Times New Roman"/>
                <w:sz w:val="32"/>
                <w:szCs w:val="32"/>
              </w:rPr>
              <w:t>1</w:t>
            </w:r>
            <w:r>
              <w:rPr>
                <w:rStyle w:val="8"/>
                <w:rFonts w:hint="default" w:ascii="Times New Roman" w:hAnsi="Times New Roman" w:eastAsia="黑体" w:cs="Times New Roman"/>
                <w:sz w:val="32"/>
                <w:szCs w:val="32"/>
              </w:rPr>
              <w:t>5</w:t>
            </w:r>
            <w:r>
              <w:rPr>
                <w:rStyle w:val="9"/>
                <w:rFonts w:hint="default" w:ascii="Times New Roman" w:hAnsi="Times New Roman" w:cs="Times New Roman"/>
                <w:sz w:val="32"/>
                <w:szCs w:val="32"/>
              </w:rPr>
              <w:t>个）</w:t>
            </w:r>
          </w:p>
        </w:tc>
      </w:tr>
      <w:tr w14:paraId="433E73E4">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27B2B8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32"/>
                <w:szCs w:val="32"/>
              </w:rPr>
            </w:pPr>
            <w:r>
              <w:rPr>
                <w:rFonts w:hint="default" w:ascii="Times New Roman" w:hAnsi="Times New Roman" w:cs="Times New Roman"/>
                <w:b/>
                <w:bCs/>
                <w:color w:val="000000"/>
                <w:kern w:val="0"/>
                <w:sz w:val="32"/>
                <w:szCs w:val="32"/>
              </w:rPr>
              <w:t>序号</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2E953E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32"/>
                <w:szCs w:val="32"/>
              </w:rPr>
            </w:pPr>
            <w:r>
              <w:rPr>
                <w:rFonts w:hint="default" w:ascii="Times New Roman" w:hAnsi="Times New Roman" w:cs="Times New Roman"/>
                <w:b/>
                <w:bCs/>
                <w:color w:val="000000"/>
                <w:kern w:val="0"/>
                <w:sz w:val="32"/>
                <w:szCs w:val="32"/>
              </w:rPr>
              <w:t>专业名称</w:t>
            </w:r>
          </w:p>
        </w:tc>
      </w:tr>
      <w:tr w14:paraId="4623879F">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9C3896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1299E5A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水产养殖</w:t>
            </w:r>
          </w:p>
        </w:tc>
      </w:tr>
      <w:tr w14:paraId="57A7A622">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1840EC0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6D425CC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水生生物学</w:t>
            </w:r>
          </w:p>
        </w:tc>
      </w:tr>
      <w:tr w14:paraId="337A824E">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ED45248">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3</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1EDCCF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海洋生物学</w:t>
            </w:r>
          </w:p>
        </w:tc>
      </w:tr>
      <w:tr w14:paraId="66AC8C36">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27EA11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4</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3334FC8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w:t>
            </w:r>
          </w:p>
        </w:tc>
      </w:tr>
      <w:tr w14:paraId="127FE2F0">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8E925B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5</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4510CE3E">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pacing w:val="-20"/>
                <w:kern w:val="0"/>
                <w:sz w:val="32"/>
                <w:szCs w:val="32"/>
              </w:rPr>
              <w:t>临床兽医学（仅限上海海洋大学</w:t>
            </w:r>
            <w:r>
              <w:rPr>
                <w:rFonts w:hint="default" w:ascii="Times New Roman" w:hAnsi="Times New Roman" w:eastAsia="仿宋_GB2312" w:cs="Times New Roman"/>
                <w:color w:val="000000"/>
                <w:spacing w:val="-20"/>
                <w:kern w:val="0"/>
                <w:sz w:val="32"/>
                <w:szCs w:val="32"/>
                <w:lang w:val="en-US" w:eastAsia="zh-CN"/>
              </w:rPr>
              <w:t>&lt;</w:t>
            </w:r>
            <w:r>
              <w:rPr>
                <w:rFonts w:hint="default" w:ascii="Times New Roman" w:hAnsi="Times New Roman" w:eastAsia="仿宋_GB2312" w:cs="Times New Roman"/>
                <w:color w:val="000000"/>
                <w:spacing w:val="-20"/>
                <w:kern w:val="0"/>
                <w:sz w:val="32"/>
                <w:szCs w:val="32"/>
              </w:rPr>
              <w:t>原上海水产大学</w:t>
            </w:r>
            <w:r>
              <w:rPr>
                <w:rFonts w:hint="default" w:ascii="Times New Roman" w:hAnsi="Times New Roman" w:eastAsia="仿宋_GB2312" w:cs="Times New Roman"/>
                <w:color w:val="000000"/>
                <w:spacing w:val="-20"/>
                <w:kern w:val="0"/>
                <w:sz w:val="32"/>
                <w:szCs w:val="32"/>
                <w:lang w:val="en-US" w:eastAsia="zh-CN"/>
              </w:rPr>
              <w:t>&gt;</w:t>
            </w:r>
            <w:r>
              <w:rPr>
                <w:rFonts w:hint="default" w:ascii="Times New Roman" w:hAnsi="Times New Roman" w:eastAsia="仿宋_GB2312" w:cs="Times New Roman"/>
                <w:color w:val="000000"/>
                <w:spacing w:val="-20"/>
                <w:kern w:val="0"/>
                <w:sz w:val="32"/>
                <w:szCs w:val="32"/>
              </w:rPr>
              <w:t>）</w:t>
            </w:r>
          </w:p>
        </w:tc>
      </w:tr>
      <w:tr w14:paraId="3C93ECEE">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65A5503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6</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D7A25D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水产动物医学</w:t>
            </w:r>
          </w:p>
        </w:tc>
      </w:tr>
      <w:tr w14:paraId="7D8FE0B7">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18816C0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7</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2D9B086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水产动物养殖</w:t>
            </w:r>
          </w:p>
        </w:tc>
      </w:tr>
      <w:tr w14:paraId="2E08DD67">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51170A9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8</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1227E60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水产养殖学</w:t>
            </w:r>
          </w:p>
        </w:tc>
      </w:tr>
      <w:tr w14:paraId="4E31EFF7">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7C4D3700">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9</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6EEF026C">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水产遗传育种与繁殖</w:t>
            </w:r>
          </w:p>
        </w:tc>
      </w:tr>
      <w:tr w14:paraId="56FB6AD2">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44FA4B7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10</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641D183C">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水产医学</w:t>
            </w:r>
          </w:p>
        </w:tc>
      </w:tr>
      <w:tr w14:paraId="78140F80">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315D7BE8">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11</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60E70C4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水产经济动物健康养殖</w:t>
            </w:r>
          </w:p>
        </w:tc>
      </w:tr>
      <w:tr w14:paraId="1E790432">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403FA41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12</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42D0FC91">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 xml:space="preserve">增殖养殖工程 </w:t>
            </w:r>
          </w:p>
        </w:tc>
      </w:tr>
      <w:tr w14:paraId="664AD781">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12D3EFE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13</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8CFA660">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水生动物医学</w:t>
            </w:r>
          </w:p>
        </w:tc>
      </w:tr>
      <w:tr w14:paraId="15202456">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5E0F86C1">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14</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1A159131">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渔业发展</w:t>
            </w:r>
          </w:p>
        </w:tc>
      </w:tr>
      <w:tr w14:paraId="14857FBC">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39BBE4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kern w:val="0"/>
                <w:sz w:val="32"/>
                <w:szCs w:val="32"/>
              </w:rPr>
            </w:pPr>
            <w:r>
              <w:rPr>
                <w:rFonts w:hint="default" w:ascii="Times New Roman" w:hAnsi="Times New Roman" w:cs="Times New Roman"/>
                <w:color w:val="000000"/>
                <w:kern w:val="0"/>
                <w:sz w:val="32"/>
                <w:szCs w:val="32"/>
              </w:rPr>
              <w:t>15</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71EC437">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渔业</w:t>
            </w:r>
          </w:p>
        </w:tc>
      </w:tr>
      <w:tr w14:paraId="0BCCB649">
        <w:tblPrEx>
          <w:tblCellMar>
            <w:top w:w="0" w:type="dxa"/>
            <w:left w:w="108" w:type="dxa"/>
            <w:bottom w:w="0" w:type="dxa"/>
            <w:right w:w="108" w:type="dxa"/>
          </w:tblCellMar>
        </w:tblPrEx>
        <w:trPr>
          <w:trHeight w:val="920" w:hRule="atLeast"/>
        </w:trPr>
        <w:tc>
          <w:tcPr>
            <w:tcW w:w="8247" w:type="dxa"/>
            <w:gridSpan w:val="2"/>
            <w:tcBorders>
              <w:top w:val="nil"/>
              <w:left w:val="nil"/>
              <w:bottom w:val="single" w:color="000000" w:sz="4" w:space="0"/>
              <w:right w:val="nil"/>
            </w:tcBorders>
            <w:shd w:val="clear" w:color="auto" w:fill="auto"/>
            <w:noWrap/>
            <w:vAlign w:val="center"/>
          </w:tcPr>
          <w:p w14:paraId="4A509824">
            <w:pPr>
              <w:keepNext w:val="0"/>
              <w:keepLines w:val="0"/>
              <w:pageBreakBefore w:val="0"/>
              <w:widowControl/>
              <w:kinsoku/>
              <w:wordWrap/>
              <w:overflowPunct/>
              <w:topLinePunct w:val="0"/>
              <w:autoSpaceDN/>
              <w:bidi w:val="0"/>
              <w:adjustRightInd/>
              <w:snapToGrid/>
              <w:spacing w:line="600" w:lineRule="exact"/>
              <w:jc w:val="left"/>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二、本科专业（</w:t>
            </w:r>
            <w:r>
              <w:rPr>
                <w:rStyle w:val="8"/>
                <w:rFonts w:hint="default" w:ascii="Times New Roman" w:hAnsi="Times New Roman" w:eastAsia="黑体" w:cs="Times New Roman"/>
                <w:sz w:val="32"/>
                <w:szCs w:val="32"/>
              </w:rPr>
              <w:t>11</w:t>
            </w:r>
            <w:r>
              <w:rPr>
                <w:rStyle w:val="9"/>
                <w:rFonts w:hint="default" w:ascii="Times New Roman" w:hAnsi="Times New Roman" w:cs="Times New Roman"/>
                <w:sz w:val="32"/>
                <w:szCs w:val="32"/>
              </w:rPr>
              <w:t>个）</w:t>
            </w:r>
          </w:p>
        </w:tc>
      </w:tr>
      <w:tr w14:paraId="0E0AC8BD">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5AE5F48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32"/>
                <w:szCs w:val="32"/>
              </w:rPr>
            </w:pPr>
            <w:r>
              <w:rPr>
                <w:rFonts w:hint="default" w:ascii="Times New Roman" w:hAnsi="Times New Roman" w:cs="Times New Roman"/>
                <w:b/>
                <w:bCs/>
                <w:color w:val="000000"/>
                <w:kern w:val="0"/>
                <w:sz w:val="32"/>
                <w:szCs w:val="32"/>
              </w:rPr>
              <w:t>序号</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C11981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32"/>
                <w:szCs w:val="32"/>
              </w:rPr>
            </w:pPr>
            <w:r>
              <w:rPr>
                <w:rFonts w:hint="default" w:ascii="Times New Roman" w:hAnsi="Times New Roman" w:cs="Times New Roman"/>
                <w:b/>
                <w:bCs/>
                <w:color w:val="000000"/>
                <w:kern w:val="0"/>
                <w:sz w:val="32"/>
                <w:szCs w:val="32"/>
              </w:rPr>
              <w:t>专业名称</w:t>
            </w:r>
          </w:p>
        </w:tc>
      </w:tr>
      <w:tr w14:paraId="3CD4E822">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73E4D3A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776DB57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淡水渔业</w:t>
            </w:r>
          </w:p>
        </w:tc>
      </w:tr>
      <w:tr w14:paraId="5A615F16">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786D0290">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089190B7">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海水养殖</w:t>
            </w:r>
          </w:p>
        </w:tc>
      </w:tr>
      <w:tr w14:paraId="78DB4255">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8AD8CD5">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3</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B6EAA5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水产养殖学</w:t>
            </w:r>
          </w:p>
        </w:tc>
      </w:tr>
      <w:tr w14:paraId="3A6DE705">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736E135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4</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014C867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 xml:space="preserve">水族科学与技术 </w:t>
            </w:r>
          </w:p>
        </w:tc>
      </w:tr>
      <w:tr w14:paraId="63DAE0B4">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52761079">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5</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3406DE8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水产养殖教育</w:t>
            </w:r>
          </w:p>
        </w:tc>
      </w:tr>
      <w:tr w14:paraId="68DA4BC7">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1A80D24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6</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7704EA89">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水生动物医学</w:t>
            </w:r>
          </w:p>
        </w:tc>
      </w:tr>
      <w:tr w14:paraId="617E297C">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490E9289">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7</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CBE528E">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海洋渔业</w:t>
            </w:r>
          </w:p>
        </w:tc>
      </w:tr>
      <w:tr w14:paraId="44BB560E">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56876D1">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8</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F14A0CD">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渔业资源与渔政管理</w:t>
            </w:r>
          </w:p>
        </w:tc>
      </w:tr>
      <w:tr w14:paraId="38074965">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60572242">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9</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78E2EB48">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海洋渔业科学与技术</w:t>
            </w:r>
          </w:p>
        </w:tc>
      </w:tr>
      <w:tr w14:paraId="01ADA533">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25C6E2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10</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7CBA0F2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 xml:space="preserve">水产养殖 </w:t>
            </w:r>
          </w:p>
        </w:tc>
      </w:tr>
      <w:tr w14:paraId="16FA2318">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5BEC3F5A">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11</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4CD66E73">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现代水产养殖技术</w:t>
            </w:r>
          </w:p>
        </w:tc>
      </w:tr>
      <w:tr w14:paraId="26CB09BE">
        <w:tblPrEx>
          <w:tblCellMar>
            <w:top w:w="0" w:type="dxa"/>
            <w:left w:w="108" w:type="dxa"/>
            <w:bottom w:w="0" w:type="dxa"/>
            <w:right w:w="108" w:type="dxa"/>
          </w:tblCellMar>
        </w:tblPrEx>
        <w:trPr>
          <w:trHeight w:val="880" w:hRule="atLeast"/>
        </w:trPr>
        <w:tc>
          <w:tcPr>
            <w:tcW w:w="8247" w:type="dxa"/>
            <w:gridSpan w:val="2"/>
            <w:tcBorders>
              <w:top w:val="nil"/>
              <w:left w:val="nil"/>
              <w:bottom w:val="single" w:color="000000" w:sz="4" w:space="0"/>
              <w:right w:val="nil"/>
            </w:tcBorders>
            <w:shd w:val="clear" w:color="auto" w:fill="auto"/>
            <w:noWrap/>
            <w:vAlign w:val="center"/>
          </w:tcPr>
          <w:p w14:paraId="4099D728">
            <w:pPr>
              <w:keepNext w:val="0"/>
              <w:keepLines w:val="0"/>
              <w:pageBreakBefore w:val="0"/>
              <w:widowControl/>
              <w:kinsoku/>
              <w:wordWrap/>
              <w:overflowPunct/>
              <w:topLinePunct w:val="0"/>
              <w:autoSpaceDN/>
              <w:bidi w:val="0"/>
              <w:adjustRightInd/>
              <w:snapToGrid/>
              <w:spacing w:line="600" w:lineRule="exact"/>
              <w:jc w:val="left"/>
              <w:textAlignment w:val="center"/>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kern w:val="0"/>
                <w:sz w:val="32"/>
                <w:szCs w:val="32"/>
              </w:rPr>
              <w:t>三、专科专业（</w:t>
            </w:r>
            <w:r>
              <w:rPr>
                <w:rStyle w:val="8"/>
                <w:rFonts w:hint="default" w:ascii="Times New Roman" w:hAnsi="Times New Roman" w:eastAsia="黑体" w:cs="Times New Roman"/>
                <w:sz w:val="32"/>
                <w:szCs w:val="32"/>
              </w:rPr>
              <w:t>16</w:t>
            </w:r>
            <w:r>
              <w:rPr>
                <w:rStyle w:val="9"/>
                <w:rFonts w:hint="default" w:ascii="Times New Roman" w:hAnsi="Times New Roman" w:cs="Times New Roman"/>
                <w:sz w:val="32"/>
                <w:szCs w:val="32"/>
              </w:rPr>
              <w:t>个）</w:t>
            </w:r>
          </w:p>
        </w:tc>
      </w:tr>
      <w:tr w14:paraId="39EBBEEA">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D0725FC">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32"/>
                <w:szCs w:val="32"/>
              </w:rPr>
            </w:pPr>
            <w:r>
              <w:rPr>
                <w:rFonts w:hint="default" w:ascii="Times New Roman" w:hAnsi="Times New Roman" w:cs="Times New Roman"/>
                <w:b/>
                <w:bCs/>
                <w:color w:val="000000"/>
                <w:kern w:val="0"/>
                <w:sz w:val="32"/>
                <w:szCs w:val="32"/>
              </w:rPr>
              <w:t>序号</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3D0BC27B">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b/>
                <w:bCs/>
                <w:color w:val="000000"/>
                <w:sz w:val="32"/>
                <w:szCs w:val="32"/>
              </w:rPr>
            </w:pPr>
            <w:r>
              <w:rPr>
                <w:rFonts w:hint="default" w:ascii="Times New Roman" w:hAnsi="Times New Roman" w:cs="Times New Roman"/>
                <w:b/>
                <w:bCs/>
                <w:color w:val="000000"/>
                <w:kern w:val="0"/>
                <w:sz w:val="32"/>
                <w:szCs w:val="32"/>
              </w:rPr>
              <w:t>专业名称</w:t>
            </w:r>
          </w:p>
        </w:tc>
      </w:tr>
      <w:tr w14:paraId="60583926">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B48508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7B223D4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水产养殖技术</w:t>
            </w:r>
          </w:p>
        </w:tc>
      </w:tr>
      <w:tr w14:paraId="1FB9F18F">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5BCFD3D8">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2</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04BDDE8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水生动物医学</w:t>
            </w:r>
          </w:p>
        </w:tc>
      </w:tr>
      <w:tr w14:paraId="63974CF6">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22BC983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3</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077BA004">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水族科学与技术</w:t>
            </w:r>
          </w:p>
        </w:tc>
      </w:tr>
      <w:tr w14:paraId="641AF1B4">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3C64FE4">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4</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0F4B1CD9">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淡水养殖</w:t>
            </w:r>
          </w:p>
        </w:tc>
      </w:tr>
      <w:tr w14:paraId="6396BAAD">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6A4284B1">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5</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26609F4F">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淡水渔业</w:t>
            </w:r>
          </w:p>
        </w:tc>
      </w:tr>
      <w:tr w14:paraId="634AA70A">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79C4B978">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6</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7DB3FC3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海水养殖</w:t>
            </w:r>
          </w:p>
        </w:tc>
      </w:tr>
      <w:tr w14:paraId="1A7ABD22">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FDC1FE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7</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34E7346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水产养殖</w:t>
            </w:r>
          </w:p>
        </w:tc>
      </w:tr>
      <w:tr w14:paraId="72C7927E">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1879F84">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8</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32A3F7B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水生动植物保护</w:t>
            </w:r>
          </w:p>
        </w:tc>
      </w:tr>
      <w:tr w14:paraId="68BC5066">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2E31EF6">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9</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20B890A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渔业综合技术</w:t>
            </w:r>
          </w:p>
        </w:tc>
      </w:tr>
      <w:tr w14:paraId="6556243F">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3A8D1A1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10</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585E6F5">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特种水产养殖与疾病防治</w:t>
            </w:r>
          </w:p>
        </w:tc>
      </w:tr>
      <w:tr w14:paraId="3DC5ACFA">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5EEF2A7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11</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57E461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渔业管理</w:t>
            </w:r>
          </w:p>
        </w:tc>
      </w:tr>
      <w:tr w14:paraId="430009DF">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6E7CD177">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12</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08C4FAAB">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名特水产养殖</w:t>
            </w:r>
          </w:p>
        </w:tc>
      </w:tr>
      <w:tr w14:paraId="221379EE">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406EAEF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13</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3E020B4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养殖</w:t>
            </w:r>
          </w:p>
        </w:tc>
      </w:tr>
      <w:tr w14:paraId="46988F1F">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766E16DF">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14</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069B478A">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海洋渔业技术</w:t>
            </w:r>
          </w:p>
        </w:tc>
      </w:tr>
      <w:tr w14:paraId="2D041451">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695755ED">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15</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57F54932">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城市渔业</w:t>
            </w:r>
          </w:p>
        </w:tc>
      </w:tr>
      <w:tr w14:paraId="0374CD10">
        <w:tblPrEx>
          <w:tblCellMar>
            <w:top w:w="0" w:type="dxa"/>
            <w:left w:w="108" w:type="dxa"/>
            <w:bottom w:w="0" w:type="dxa"/>
            <w:right w:w="108" w:type="dxa"/>
          </w:tblCellMar>
        </w:tblPrEx>
        <w:trPr>
          <w:trHeight w:val="375" w:hRule="atLeast"/>
        </w:trPr>
        <w:tc>
          <w:tcPr>
            <w:tcW w:w="1076" w:type="dxa"/>
            <w:tcBorders>
              <w:top w:val="single" w:color="000000" w:sz="4" w:space="0"/>
              <w:left w:val="single" w:color="000000" w:sz="4" w:space="0"/>
              <w:bottom w:val="single" w:color="000000" w:sz="4" w:space="0"/>
              <w:right w:val="single" w:color="000000" w:sz="4" w:space="0"/>
            </w:tcBorders>
            <w:shd w:val="clear" w:color="auto" w:fill="auto"/>
          </w:tcPr>
          <w:p w14:paraId="09AE8C53">
            <w:pPr>
              <w:keepNext w:val="0"/>
              <w:keepLines w:val="0"/>
              <w:pageBreakBefore w:val="0"/>
              <w:widowControl/>
              <w:kinsoku/>
              <w:wordWrap/>
              <w:overflowPunct/>
              <w:topLinePunct w:val="0"/>
              <w:autoSpaceDN/>
              <w:bidi w:val="0"/>
              <w:adjustRightInd/>
              <w:snapToGrid/>
              <w:spacing w:line="600" w:lineRule="exact"/>
              <w:jc w:val="center"/>
              <w:textAlignment w:val="top"/>
              <w:rPr>
                <w:rFonts w:hint="default" w:ascii="Times New Roman" w:hAnsi="Times New Roman" w:cs="Times New Roman"/>
                <w:color w:val="000000"/>
                <w:sz w:val="32"/>
                <w:szCs w:val="32"/>
              </w:rPr>
            </w:pPr>
            <w:r>
              <w:rPr>
                <w:rFonts w:hint="default" w:ascii="Times New Roman" w:hAnsi="Times New Roman" w:cs="Times New Roman"/>
                <w:color w:val="000000"/>
                <w:kern w:val="0"/>
                <w:sz w:val="32"/>
                <w:szCs w:val="32"/>
              </w:rPr>
              <w:t>16</w:t>
            </w:r>
          </w:p>
        </w:tc>
        <w:tc>
          <w:tcPr>
            <w:tcW w:w="7171" w:type="dxa"/>
            <w:tcBorders>
              <w:top w:val="single" w:color="000000" w:sz="4" w:space="0"/>
              <w:left w:val="single" w:color="000000" w:sz="4" w:space="0"/>
              <w:bottom w:val="single" w:color="000000" w:sz="4" w:space="0"/>
              <w:right w:val="single" w:color="000000" w:sz="4" w:space="0"/>
            </w:tcBorders>
            <w:shd w:val="clear" w:color="auto" w:fill="auto"/>
          </w:tcPr>
          <w:p w14:paraId="1F82EA16">
            <w:pPr>
              <w:keepNext w:val="0"/>
              <w:keepLines w:val="0"/>
              <w:pageBreakBefore w:val="0"/>
              <w:widowControl/>
              <w:kinsoku/>
              <w:wordWrap/>
              <w:overflowPunct/>
              <w:topLinePunct w:val="0"/>
              <w:autoSpaceDN/>
              <w:bidi w:val="0"/>
              <w:adjustRightInd/>
              <w:snapToGrid/>
              <w:spacing w:line="600" w:lineRule="exact"/>
              <w:textAlignment w:val="top"/>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动物药学</w:t>
            </w:r>
          </w:p>
        </w:tc>
      </w:tr>
    </w:tbl>
    <w:p w14:paraId="1802E261">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p w14:paraId="11DD7960">
      <w:pPr>
        <w:keepNext w:val="0"/>
        <w:keepLines w:val="0"/>
        <w:pageBreakBefore w:val="0"/>
        <w:kinsoku/>
        <w:wordWrap/>
        <w:overflowPunct/>
        <w:topLinePunct w:val="0"/>
        <w:autoSpaceDN/>
        <w:bidi w:val="0"/>
        <w:adjustRightInd/>
        <w:snapToGrid/>
        <w:spacing w:line="600" w:lineRule="exact"/>
        <w:rPr>
          <w:rFonts w:hint="default" w:ascii="Times New Roman" w:hAnsi="Times New Roman" w:cs="Times New Roman"/>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1021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B2F0D29">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B2F0D29">
                    <w:pPr>
                      <w:pStyle w:val="2"/>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NTM4ZjAzZGQxOWZjOGQ2ZDU3MGMwZTE5NmY4OGMifQ=="/>
  </w:docVars>
  <w:rsids>
    <w:rsidRoot w:val="21886CAF"/>
    <w:rsid w:val="08FF58F8"/>
    <w:rsid w:val="11EB462D"/>
    <w:rsid w:val="21886CAF"/>
    <w:rsid w:val="4944592C"/>
    <w:rsid w:val="726B2544"/>
    <w:rsid w:val="77AB94D7"/>
    <w:rsid w:val="AADF1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autoRedefine/>
    <w:qFormat/>
    <w:uiPriority w:val="0"/>
    <w:rPr>
      <w:rFonts w:hint="default" w:ascii="Times New Roman" w:hAnsi="Times New Roman" w:cs="Times New Roman"/>
      <w:color w:val="000000"/>
      <w:sz w:val="32"/>
      <w:szCs w:val="32"/>
      <w:u w:val="none"/>
    </w:rPr>
  </w:style>
  <w:style w:type="character" w:customStyle="1" w:styleId="7">
    <w:name w:val="font61"/>
    <w:basedOn w:val="5"/>
    <w:autoRedefine/>
    <w:qFormat/>
    <w:uiPriority w:val="0"/>
    <w:rPr>
      <w:rFonts w:hint="default" w:ascii="Times New Roman" w:hAnsi="Times New Roman" w:cs="Times New Roman"/>
      <w:color w:val="000000"/>
      <w:sz w:val="32"/>
      <w:szCs w:val="32"/>
      <w:u w:val="none"/>
    </w:rPr>
  </w:style>
  <w:style w:type="character" w:customStyle="1" w:styleId="8">
    <w:name w:val="font31"/>
    <w:basedOn w:val="5"/>
    <w:autoRedefine/>
    <w:qFormat/>
    <w:uiPriority w:val="0"/>
    <w:rPr>
      <w:rFonts w:hint="default" w:ascii="Times New Roman" w:hAnsi="Times New Roman" w:cs="Times New Roman"/>
      <w:color w:val="000000"/>
      <w:sz w:val="28"/>
      <w:szCs w:val="28"/>
      <w:u w:val="none"/>
    </w:rPr>
  </w:style>
  <w:style w:type="character" w:customStyle="1" w:styleId="9">
    <w:name w:val="font51"/>
    <w:basedOn w:val="5"/>
    <w:autoRedefine/>
    <w:qFormat/>
    <w:uiPriority w:val="0"/>
    <w:rPr>
      <w:rFonts w:hint="eastAsia" w:ascii="黑体" w:hAnsi="宋体" w:eastAsia="黑体" w:cs="黑体"/>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2973</Words>
  <Characters>3099</Characters>
  <Lines>0</Lines>
  <Paragraphs>0</Paragraphs>
  <TotalTime>414</TotalTime>
  <ScaleCrop>false</ScaleCrop>
  <LinksUpToDate>false</LinksUpToDate>
  <CharactersWithSpaces>3153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2025-01-02T17:48:00Z</dcterms:created>
  <dc:creator>禾子</dc:creator>
  <cp:lastModifiedBy>惹喵的傻子猪</cp:lastModifiedBy>
  <cp:lastPrinted>2025-01-06T03:23:27Z</cp:lastPrinted>
  <dcterms:modified xsi:type="dcterms:W3CDTF">2025-01-07T00:49:42Z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4F91CA43B13D4643846D89710B0BD029_13</vt:lpwstr>
  </property>
  <property fmtid="{D5CDD505-2E9C-101B-9397-08002B2CF9AE}" pid="4" name="KSOTemplateDocerSaveRecord">
    <vt:lpwstr>eyJoZGlkIjoiZTcyNzY2ZGQ2MDY3NTA5ZGI5MTE0Nzk0ZjU2OTM4NDMiLCJ1c2VySWQiOiI0Nzg3MDYzMDAifQ==</vt:lpwstr>
  </property>
</Properties>
</file>