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29C20">
      <w:pPr>
        <w:spacing w:line="500" w:lineRule="exact"/>
        <w:rPr>
          <w:rFonts w:hint="eastAsia" w:ascii="仿宋_GB2312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color w:val="000000"/>
          <w:sz w:val="28"/>
          <w:szCs w:val="28"/>
          <w:lang w:eastAsia="zh-CN"/>
        </w:rPr>
        <w:t>附件</w:t>
      </w:r>
      <w:r>
        <w:rPr>
          <w:rFonts w:hint="eastAsia" w:ascii="仿宋_GB2312" w:eastAsia="仿宋_GB2312" w:cs="Times New Roman"/>
          <w:color w:val="000000"/>
          <w:sz w:val="28"/>
          <w:szCs w:val="28"/>
          <w:lang w:val="en-US" w:eastAsia="zh-CN"/>
        </w:rPr>
        <w:t>3</w:t>
      </w:r>
    </w:p>
    <w:p w14:paraId="6AED9769">
      <w:pPr>
        <w:spacing w:line="500" w:lineRule="exact"/>
        <w:rPr>
          <w:rFonts w:hint="default" w:ascii="仿宋_GB2312" w:eastAsia="仿宋_GB2312" w:cs="Times New Roman"/>
          <w:color w:val="000000"/>
          <w:sz w:val="28"/>
          <w:szCs w:val="28"/>
          <w:lang w:val="en-US" w:eastAsia="zh-CN"/>
        </w:rPr>
      </w:pPr>
    </w:p>
    <w:p w14:paraId="26446045">
      <w:pPr>
        <w:widowControl/>
        <w:jc w:val="center"/>
        <w:textAlignment w:val="center"/>
        <w:rPr>
          <w:rFonts w:hint="eastAsia" w:ascii="宋体" w:hAnsi="宋体" w:cs="宋体"/>
          <w:b/>
          <w:bCs/>
          <w:color w:val="000000"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eastAsia="zh-CN"/>
        </w:rPr>
        <w:t>评分表</w:t>
      </w:r>
    </w:p>
    <w:p w14:paraId="317EF546">
      <w:pPr>
        <w:widowControl/>
        <w:jc w:val="center"/>
        <w:textAlignment w:val="center"/>
        <w:rPr>
          <w:rFonts w:hint="eastAsia" w:ascii="宋体" w:hAnsi="宋体" w:cs="宋体"/>
          <w:b/>
          <w:bCs/>
          <w:color w:val="000000"/>
          <w:sz w:val="44"/>
          <w:szCs w:val="44"/>
          <w:lang w:eastAsia="zh-CN"/>
        </w:rPr>
      </w:pPr>
    </w:p>
    <w:p w14:paraId="614E4841">
      <w:pPr>
        <w:widowControl/>
        <w:jc w:val="left"/>
        <w:textAlignment w:val="center"/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 w:bidi="ar"/>
        </w:rPr>
        <w:t>第三方中介机构名称：</w:t>
      </w:r>
    </w:p>
    <w:tbl>
      <w:tblPr>
        <w:tblStyle w:val="2"/>
        <w:tblW w:w="499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5739"/>
        <w:gridCol w:w="1241"/>
        <w:gridCol w:w="663"/>
      </w:tblGrid>
      <w:tr w14:paraId="736F9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79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评选项目</w:t>
            </w:r>
          </w:p>
        </w:tc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293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评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细则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27E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eastAsia="zh-CN"/>
              </w:rPr>
              <w:t>提供材料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CC2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得分</w:t>
            </w:r>
          </w:p>
        </w:tc>
      </w:tr>
      <w:tr w14:paraId="3B37A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C0E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商务部分</w:t>
            </w:r>
          </w:p>
          <w:p w14:paraId="1E50A42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50分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</w:p>
        </w:tc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045E3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承担过行政部门对企业进行评审服务的计6分/次，本项目最高得30分；</w:t>
            </w:r>
          </w:p>
          <w:p w14:paraId="069CD02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承接过本项目类似业绩，每提供份类似项目业绩得4分，本项目最高得20分。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6A88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近三年来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中标通知书或服务合同等证明材料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9F17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</w:p>
        </w:tc>
      </w:tr>
      <w:tr w14:paraId="18E86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1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B4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技术部分（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20分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</w:p>
        </w:tc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3755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1、2名以上（不含2名）注册会计师参与本次评审工作，其中到现场核查时派出2名以上（不含2名）中级及以上会计师，得10分。</w:t>
            </w:r>
          </w:p>
          <w:p w14:paraId="4CAFD6D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2、2名注册会计师参与本次评审工作，其中到现场核查时派出2名中级及以上会计师，得5分。</w:t>
            </w:r>
          </w:p>
          <w:p w14:paraId="5EBA122F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3、少于2名注册会计师参与本次评审工作，其中到现场核查时派出少于2名中级及以上会计师，得0分。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896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注册会计师、中级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及以上会计师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证书及派出人员承诺函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F5F7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69E1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218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</w:p>
        </w:tc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408C8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内容完整、结构排版清晰、文字表达准确无误最得3分；</w:t>
            </w:r>
          </w:p>
          <w:p w14:paraId="4533ACFA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内容较完整、结构排版较清晰、文字表达无大错误得2分；</w:t>
            </w:r>
          </w:p>
          <w:p w14:paraId="4EF284B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内容不完整、结构排版模糊、文字表达不通畅得0分。</w:t>
            </w:r>
          </w:p>
        </w:tc>
        <w:tc>
          <w:tcPr>
            <w:tcW w:w="72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8267E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服务计划书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6406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72EB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07B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</w:p>
        </w:tc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A8AD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实施计划（步骤）合理得3分；</w:t>
            </w:r>
          </w:p>
          <w:p w14:paraId="3B3A19C6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实施计划（步骤）较合理得2分；</w:t>
            </w:r>
          </w:p>
          <w:p w14:paraId="2E4B89DA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实施计划（步骤）欠合理得0分。</w:t>
            </w:r>
          </w:p>
        </w:tc>
        <w:tc>
          <w:tcPr>
            <w:tcW w:w="7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3F8924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8E3B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6298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8E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</w:p>
        </w:tc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AF074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保障工作顺利完成的资源配置（如人员、车辆）等配置充足得4分；</w:t>
            </w:r>
          </w:p>
          <w:p w14:paraId="3B6EE9F4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保障工作顺利完成的资源配置（如人员、车辆）等配置较充足得2分；</w:t>
            </w:r>
          </w:p>
          <w:p w14:paraId="26F4029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保障工作顺利完成的资源配置（如人员、车辆）等配置不充足得0分。</w:t>
            </w:r>
          </w:p>
        </w:tc>
        <w:tc>
          <w:tcPr>
            <w:tcW w:w="7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56DBC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6A76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6858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1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报价金额</w:t>
            </w:r>
          </w:p>
          <w:p w14:paraId="4263E9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0分）</w:t>
            </w:r>
          </w:p>
        </w:tc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3CFAB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符合条件的最低投标价为评标基准价，得30分；</w:t>
            </w:r>
          </w:p>
          <w:p w14:paraId="048C03AE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其他满足招标文件的价格分通过以下公式计算：（评标基准价/投标报价）*30分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2845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报价单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8571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73BD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44B6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以下情况属于一票否决情况</w:t>
            </w:r>
          </w:p>
        </w:tc>
      </w:tr>
      <w:tr w14:paraId="57F83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1B32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1、未进驻广东省政府采购平台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DE1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进驻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广东省政府采购平台网页截图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0422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8E3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8EB4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2、信用中国/信用广东显示存在重大信用问题或其他违法违规行为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B861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报价截至日期前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7天内征信报告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6781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0899F39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D81572"/>
    <w:multiLevelType w:val="singleLevel"/>
    <w:tmpl w:val="B2D8157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8C8731A"/>
    <w:multiLevelType w:val="singleLevel"/>
    <w:tmpl w:val="68C8731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28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2025-10-24T01:25:39Z</dcterms:created>
  <dc:creator>Administrator</dc:creator>
  <cp:lastModifiedBy>李波</cp:lastModifiedBy>
  <dcterms:modified xsi:type="dcterms:W3CDTF">2025-10-24T01:25:58Z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eyJoZGlkIjoiYjQxNDdiZDJjMTg0MzFkMTRjNzM4Yzg5Mzc1Nzc1MzUiLCJ1c2VySWQiOiIzNDg5NjA3NTAifQ==</vt:lpwstr>
  </property>
  <property fmtid="{D5CDD505-2E9C-101B-9397-08002B2CF9AE}" pid="4" name="ICV">
    <vt:lpwstr>49337F1A0C2343D58C6BA242662A8736_12</vt:lpwstr>
  </property>
</Properties>
</file>